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劳动与社会保障专业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3"/>
        <w:spacing w:before="98" w:beforeAutospacing="0" w:after="0" w:afterAutospacing="0"/>
        <w:ind w:left="597" w:right="231"/>
        <w:jc w:val="center"/>
      </w:pPr>
    </w:p>
    <w:tbl>
      <w:tblPr>
        <w:tblStyle w:val="16"/>
        <w:tblW w:w="0" w:type="auto"/>
        <w:jc w:val="center"/>
        <w:tblLayout w:type="fixed"/>
        <w:tblCellMar>
          <w:top w:w="0" w:type="dxa"/>
          <w:left w:w="0" w:type="dxa"/>
          <w:bottom w:w="0" w:type="dxa"/>
          <w:right w:w="0" w:type="dxa"/>
        </w:tblCellMar>
      </w:tblPr>
      <w:tblGrid>
        <w:gridCol w:w="6880"/>
      </w:tblGrid>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1800" w:firstLineChars="600"/>
              <w:rPr>
                <w:rFonts w:ascii="微软雅黑" w:hAnsi="微软雅黑" w:eastAsia="微软雅黑"/>
                <w:color w:val="333333"/>
                <w:sz w:val="15"/>
                <w:szCs w:val="15"/>
              </w:rPr>
            </w:pPr>
            <w:r>
              <w:rPr>
                <w:rFonts w:hint="eastAsia" w:ascii="楷体" w:hAnsi="楷体" w:eastAsia="楷体"/>
                <w:color w:val="000000"/>
                <w:sz w:val="30"/>
                <w:szCs w:val="30"/>
              </w:rPr>
              <w:t xml:space="preserve">专业代码： </w:t>
            </w:r>
            <w:r>
              <w:rPr>
                <w:rFonts w:hint="eastAsia"/>
                <w:i/>
                <w:iCs/>
                <w:color w:val="000000"/>
                <w:sz w:val="30"/>
                <w:szCs w:val="30"/>
                <w:u w:val="single"/>
              </w:rPr>
              <w:t xml:space="preserve"> </w:t>
            </w:r>
            <w:r>
              <w:rPr>
                <w:color w:val="000000"/>
                <w:sz w:val="30"/>
                <w:szCs w:val="30"/>
                <w:u w:val="single"/>
              </w:rPr>
              <w:t xml:space="preserve"> </w:t>
            </w:r>
            <w:r>
              <w:rPr>
                <w:rFonts w:ascii="微软雅黑" w:hAnsi="微软雅黑" w:eastAsia="微软雅黑"/>
                <w:color w:val="000000"/>
                <w:sz w:val="30"/>
                <w:szCs w:val="30"/>
                <w:u w:val="single"/>
              </w:rPr>
              <w:t xml:space="preserve">120403    </w:t>
            </w:r>
            <w:r>
              <w:rPr>
                <w:color w:val="000000"/>
                <w:sz w:val="30"/>
                <w:szCs w:val="30"/>
                <w:u w:val="single"/>
              </w:rPr>
              <w:t xml:space="preserve"> </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 沈世勇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罗娟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 胡斌      （签字）</w:t>
            </w:r>
          </w:p>
        </w:tc>
      </w:tr>
      <w:tr>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管理学院   （盖章）</w:t>
            </w:r>
          </w:p>
        </w:tc>
      </w:tr>
    </w:tbl>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shd w:val="clear" w:color="auto" w:fill="FFFFFF"/>
        <w:spacing w:line="400" w:lineRule="exact"/>
        <w:ind w:firstLine="480"/>
        <w:jc w:val="center"/>
        <w:rPr>
          <w:rFonts w:ascii="微软雅黑" w:hAnsi="微软雅黑" w:eastAsia="微软雅黑"/>
          <w:color w:val="333333"/>
          <w:sz w:val="15"/>
          <w:szCs w:val="15"/>
        </w:rPr>
      </w:pPr>
      <w:r>
        <w:rPr>
          <w:rFonts w:hint="eastAsia" w:ascii="华文中宋" w:hAnsi="华文中宋" w:eastAsia="华文中宋"/>
          <w:b/>
          <w:bCs/>
          <w:color w:val="000000"/>
          <w:sz w:val="36"/>
          <w:szCs w:val="36"/>
        </w:rPr>
        <w:t>二〇二</w:t>
      </w:r>
      <w:r>
        <w:rPr>
          <w:rFonts w:hint="eastAsia" w:ascii="华文中宋" w:hAnsi="华文中宋" w:eastAsia="华文中宋"/>
          <w:b/>
          <w:bCs/>
          <w:color w:val="000000"/>
          <w:sz w:val="36"/>
          <w:szCs w:val="36"/>
          <w:lang w:eastAsia="zh-Hans"/>
        </w:rPr>
        <w:t>四</w:t>
      </w:r>
      <w:r>
        <w:rPr>
          <w:rFonts w:hint="eastAsia" w:ascii="华文中宋" w:hAnsi="华文中宋" w:eastAsia="华文中宋"/>
          <w:b/>
          <w:bCs/>
          <w:color w:val="000000"/>
          <w:sz w:val="36"/>
          <w:szCs w:val="36"/>
        </w:rPr>
        <w:t>年二月</w:t>
      </w:r>
    </w:p>
    <w:p>
      <w:r>
        <w:br w:type="page"/>
      </w: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"_Toc160195563" </w:instrText>
      </w:r>
      <w:r>
        <w:fldChar w:fldCharType="separate"/>
      </w:r>
      <w:r>
        <w:rPr>
          <w:rStyle w:val="20"/>
        </w:rPr>
        <w:t>说</w:t>
      </w:r>
      <w:r>
        <w:rPr>
          <w:rFonts w:asciiTheme="minorHAnsi" w:hAnsiTheme="minorHAnsi" w:eastAsiaTheme="minorEastAsia" w:cstheme="minorBidi"/>
          <w:kern w:val="2"/>
          <w:sz w:val="21"/>
          <w:szCs w:val="22"/>
          <w14:ligatures w14:val="standardContextual"/>
        </w:rPr>
        <w:tab/>
      </w:r>
      <w:r>
        <w:rPr>
          <w:rStyle w:val="20"/>
        </w:rPr>
        <w:t>明</w:t>
      </w:r>
      <w:r>
        <w:tab/>
      </w:r>
      <w:r>
        <w:fldChar w:fldCharType="begin"/>
      </w:r>
      <w:r>
        <w:instrText xml:space="preserve"> PAGEREF _Toc160195563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"_Toc160195564" </w:instrText>
      </w:r>
      <w:r>
        <w:fldChar w:fldCharType="separate"/>
      </w:r>
      <w:r>
        <w:rPr>
          <w:rStyle w:val="20"/>
        </w:rPr>
        <w:t>1.专业概况</w:t>
      </w:r>
      <w:r>
        <w:tab/>
      </w:r>
      <w:r>
        <w:fldChar w:fldCharType="begin"/>
      </w:r>
      <w:r>
        <w:instrText xml:space="preserve"> PAGEREF _Toc160195564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"_Toc160195565" </w:instrText>
      </w:r>
      <w:r>
        <w:fldChar w:fldCharType="separate"/>
      </w:r>
      <w:r>
        <w:rPr>
          <w:rStyle w:val="20"/>
        </w:rPr>
        <w:t>1.1专业设置情况</w:t>
      </w:r>
      <w:r>
        <w:tab/>
      </w:r>
      <w:r>
        <w:fldChar w:fldCharType="begin"/>
      </w:r>
      <w:r>
        <w:instrText xml:space="preserve"> PAGEREF _Toc160195565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"_Toc160195566" </w:instrText>
      </w:r>
      <w:r>
        <w:fldChar w:fldCharType="separate"/>
      </w:r>
      <w:r>
        <w:rPr>
          <w:rStyle w:val="20"/>
        </w:rPr>
        <w:t>1.2人才培养目标</w:t>
      </w:r>
      <w:r>
        <w:tab/>
      </w:r>
      <w:r>
        <w:fldChar w:fldCharType="begin"/>
      </w:r>
      <w:r>
        <w:instrText xml:space="preserve"> PAGEREF _Toc160195566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"_Toc160195567" </w:instrText>
      </w:r>
      <w:r>
        <w:fldChar w:fldCharType="separate"/>
      </w:r>
      <w:r>
        <w:rPr>
          <w:rStyle w:val="20"/>
        </w:rPr>
        <w:t>2.毕业要求</w:t>
      </w:r>
      <w:r>
        <w:tab/>
      </w:r>
      <w:r>
        <w:fldChar w:fldCharType="begin"/>
      </w:r>
      <w:r>
        <w:instrText xml:space="preserve"> PAGEREF _Toc160195567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"_Toc160195568" </w:instrText>
      </w:r>
      <w:r>
        <w:fldChar w:fldCharType="separate"/>
      </w:r>
      <w:r>
        <w:rPr>
          <w:rStyle w:val="20"/>
        </w:rPr>
        <w:t>3.培养情况</w:t>
      </w:r>
      <w:r>
        <w:tab/>
      </w:r>
      <w:r>
        <w:fldChar w:fldCharType="begin"/>
      </w:r>
      <w:r>
        <w:instrText xml:space="preserve"> PAGEREF _Toc160195568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"_Toc160195569" </w:instrText>
      </w:r>
      <w:r>
        <w:fldChar w:fldCharType="separate"/>
      </w:r>
      <w:r>
        <w:rPr>
          <w:rStyle w:val="20"/>
        </w:rPr>
        <w:t>3.1专业建设情况</w:t>
      </w:r>
      <w:r>
        <w:tab/>
      </w:r>
      <w:r>
        <w:fldChar w:fldCharType="begin"/>
      </w:r>
      <w:r>
        <w:instrText xml:space="preserve"> PAGEREF _Toc160195569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"_Toc160195570" </w:instrText>
      </w:r>
      <w:r>
        <w:fldChar w:fldCharType="separate"/>
      </w:r>
      <w:r>
        <w:rPr>
          <w:rStyle w:val="20"/>
        </w:rPr>
        <w:t>3.2专业教学计划</w:t>
      </w:r>
      <w:r>
        <w:tab/>
      </w:r>
      <w:r>
        <w:fldChar w:fldCharType="begin"/>
      </w:r>
      <w:r>
        <w:instrText xml:space="preserve"> PAGEREF _Toc160195570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"_Toc160195571" </w:instrText>
      </w:r>
      <w:r>
        <w:fldChar w:fldCharType="separate"/>
      </w:r>
      <w:r>
        <w:rPr>
          <w:rStyle w:val="20"/>
        </w:rPr>
        <w:t>3.3专业课开设情况</w:t>
      </w:r>
      <w:r>
        <w:tab/>
      </w:r>
      <w:r>
        <w:fldChar w:fldCharType="begin"/>
      </w:r>
      <w:r>
        <w:instrText xml:space="preserve"> PAGEREF _Toc160195571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"_Toc160195572" </w:instrText>
      </w:r>
      <w:r>
        <w:fldChar w:fldCharType="separate"/>
      </w:r>
      <w:r>
        <w:rPr>
          <w:rStyle w:val="20"/>
        </w:rPr>
        <w:t>3.4专业课课堂规模</w:t>
      </w:r>
      <w:r>
        <w:tab/>
      </w:r>
      <w:r>
        <w:fldChar w:fldCharType="begin"/>
      </w:r>
      <w:r>
        <w:instrText xml:space="preserve"> PAGEREF _Toc160195572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"_Toc160195573" </w:instrText>
      </w:r>
      <w:r>
        <w:fldChar w:fldCharType="separate"/>
      </w:r>
      <w:r>
        <w:rPr>
          <w:rStyle w:val="20"/>
        </w:rPr>
        <w:t>3.5专业的核心课程情况</w:t>
      </w:r>
      <w:r>
        <w:tab/>
      </w:r>
      <w:r>
        <w:fldChar w:fldCharType="begin"/>
      </w:r>
      <w:r>
        <w:instrText xml:space="preserve"> PAGEREF _Toc160195573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"_Toc160195574" </w:instrText>
      </w:r>
      <w:r>
        <w:fldChar w:fldCharType="separate"/>
      </w:r>
      <w:r>
        <w:rPr>
          <w:rStyle w:val="20"/>
        </w:rPr>
        <w:t>3.6实验教学情况</w:t>
      </w:r>
      <w:r>
        <w:tab/>
      </w:r>
      <w:r>
        <w:fldChar w:fldCharType="begin"/>
      </w:r>
      <w:r>
        <w:instrText xml:space="preserve"> PAGEREF _Toc160195574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"_Toc160195575" </w:instrText>
      </w:r>
      <w:r>
        <w:fldChar w:fldCharType="separate"/>
      </w:r>
      <w:r>
        <w:rPr>
          <w:rStyle w:val="20"/>
        </w:rPr>
        <w:t>3.7实践教学情况</w:t>
      </w:r>
      <w:r>
        <w:tab/>
      </w:r>
      <w:r>
        <w:fldChar w:fldCharType="begin"/>
      </w:r>
      <w:r>
        <w:instrText xml:space="preserve"> PAGEREF _Toc160195575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"_Toc160195576" </w:instrText>
      </w:r>
      <w:r>
        <w:fldChar w:fldCharType="separate"/>
      </w:r>
      <w:r>
        <w:rPr>
          <w:rStyle w:val="20"/>
        </w:rPr>
        <w:t>3.8创新创业教育</w:t>
      </w:r>
      <w:r>
        <w:tab/>
      </w:r>
      <w:r>
        <w:fldChar w:fldCharType="begin"/>
      </w:r>
      <w:r>
        <w:instrText xml:space="preserve"> PAGEREF _Toc160195576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"_Toc160195577" </w:instrText>
      </w:r>
      <w:r>
        <w:fldChar w:fldCharType="separate"/>
      </w:r>
      <w:r>
        <w:rPr>
          <w:rStyle w:val="20"/>
        </w:rPr>
        <w:t>3.9学生毕业综合训练情况</w:t>
      </w:r>
      <w:r>
        <w:tab/>
      </w:r>
      <w:r>
        <w:fldChar w:fldCharType="begin"/>
      </w:r>
      <w:r>
        <w:instrText xml:space="preserve"> PAGEREF _Toc160195577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"_Toc160195578" </w:instrText>
      </w:r>
      <w:r>
        <w:fldChar w:fldCharType="separate"/>
      </w:r>
      <w:r>
        <w:rPr>
          <w:rStyle w:val="20"/>
        </w:rPr>
        <w:t>3.10教学改革</w:t>
      </w:r>
      <w:r>
        <w:tab/>
      </w:r>
      <w:r>
        <w:fldChar w:fldCharType="begin"/>
      </w:r>
      <w:r>
        <w:instrText xml:space="preserve"> PAGEREF _Toc160195578 \h </w:instrText>
      </w:r>
      <w:r>
        <w:fldChar w:fldCharType="separate"/>
      </w:r>
      <w:r>
        <w:t>11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"_Toc160195579" </w:instrText>
      </w:r>
      <w:r>
        <w:fldChar w:fldCharType="separate"/>
      </w:r>
      <w:r>
        <w:rPr>
          <w:rStyle w:val="20"/>
        </w:rPr>
        <w:t>4.教师队伍</w:t>
      </w:r>
      <w:r>
        <w:tab/>
      </w:r>
      <w:r>
        <w:fldChar w:fldCharType="begin"/>
      </w:r>
      <w:r>
        <w:instrText xml:space="preserve"> PAGEREF _Toc160195579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"_Toc160195580" </w:instrText>
      </w:r>
      <w:r>
        <w:fldChar w:fldCharType="separate"/>
      </w:r>
      <w:r>
        <w:rPr>
          <w:rStyle w:val="20"/>
        </w:rPr>
        <w:t>4.1专业教师数量与结构</w:t>
      </w:r>
      <w:r>
        <w:tab/>
      </w:r>
      <w:r>
        <w:fldChar w:fldCharType="begin"/>
      </w:r>
      <w:r>
        <w:instrText xml:space="preserve"> PAGEREF _Toc160195580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"_Toc160195581" </w:instrText>
      </w:r>
      <w:r>
        <w:fldChar w:fldCharType="separate"/>
      </w:r>
      <w:r>
        <w:rPr>
          <w:rStyle w:val="20"/>
        </w:rPr>
        <w:t>4.2授课师资分析</w:t>
      </w:r>
      <w:r>
        <w:tab/>
      </w:r>
      <w:r>
        <w:fldChar w:fldCharType="begin"/>
      </w:r>
      <w:r>
        <w:instrText xml:space="preserve"> PAGEREF _Toc160195581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"_Toc160195582" </w:instrText>
      </w:r>
      <w:r>
        <w:fldChar w:fldCharType="separate"/>
      </w:r>
      <w:r>
        <w:rPr>
          <w:rStyle w:val="20"/>
        </w:rPr>
        <w:t>4.3教师教学科研情况</w:t>
      </w:r>
      <w:r>
        <w:tab/>
      </w:r>
      <w:r>
        <w:fldChar w:fldCharType="begin"/>
      </w:r>
      <w:r>
        <w:instrText xml:space="preserve"> PAGEREF _Toc160195582 \h </w:instrText>
      </w:r>
      <w:r>
        <w:fldChar w:fldCharType="separate"/>
      </w:r>
      <w:r>
        <w:t>15</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"_Toc160195583" </w:instrText>
      </w:r>
      <w:r>
        <w:fldChar w:fldCharType="separate"/>
      </w:r>
      <w:r>
        <w:rPr>
          <w:rStyle w:val="20"/>
        </w:rPr>
        <w:t>5.支持条件</w:t>
      </w:r>
      <w:r>
        <w:tab/>
      </w:r>
      <w:r>
        <w:fldChar w:fldCharType="begin"/>
      </w:r>
      <w:r>
        <w:instrText xml:space="preserve"> PAGEREF _Toc160195583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"_Toc160195584" </w:instrText>
      </w:r>
      <w:r>
        <w:fldChar w:fldCharType="separate"/>
      </w:r>
      <w:r>
        <w:rPr>
          <w:rStyle w:val="20"/>
        </w:rPr>
        <w:t>5.1学校生均教学经费情况</w:t>
      </w:r>
      <w:r>
        <w:tab/>
      </w:r>
      <w:r>
        <w:fldChar w:fldCharType="begin"/>
      </w:r>
      <w:r>
        <w:instrText xml:space="preserve"> PAGEREF _Toc160195584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"_Toc160195585" </w:instrText>
      </w:r>
      <w:r>
        <w:fldChar w:fldCharType="separate"/>
      </w:r>
      <w:r>
        <w:rPr>
          <w:rStyle w:val="20"/>
        </w:rPr>
        <w:t>5.2支撑专业实验教学校内场所情况</w:t>
      </w:r>
      <w:r>
        <w:tab/>
      </w:r>
      <w:r>
        <w:fldChar w:fldCharType="begin"/>
      </w:r>
      <w:r>
        <w:instrText xml:space="preserve"> PAGEREF _Toc160195585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"_Toc160195586" </w:instrText>
      </w:r>
      <w:r>
        <w:fldChar w:fldCharType="separate"/>
      </w:r>
      <w:r>
        <w:rPr>
          <w:rStyle w:val="20"/>
        </w:rPr>
        <w:t>5.3校外本科教学实习实训基地情况</w:t>
      </w:r>
      <w:r>
        <w:tab/>
      </w:r>
      <w:r>
        <w:fldChar w:fldCharType="begin"/>
      </w:r>
      <w:r>
        <w:instrText xml:space="preserve"> PAGEREF _Toc160195586 \h </w:instrText>
      </w:r>
      <w:r>
        <w:fldChar w:fldCharType="separate"/>
      </w:r>
      <w:r>
        <w:t>16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"_Toc160195587" </w:instrText>
      </w:r>
      <w:r>
        <w:fldChar w:fldCharType="separate"/>
      </w:r>
      <w:r>
        <w:rPr>
          <w:rStyle w:val="20"/>
        </w:rPr>
        <w:t>6.质量保障</w:t>
      </w:r>
      <w:r>
        <w:tab/>
      </w:r>
      <w:r>
        <w:fldChar w:fldCharType="begin"/>
      </w:r>
      <w:r>
        <w:instrText xml:space="preserve"> PAGEREF _Toc160195587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"_Toc160195588" </w:instrText>
      </w:r>
      <w:r>
        <w:fldChar w:fldCharType="separate"/>
      </w:r>
      <w:r>
        <w:rPr>
          <w:rStyle w:val="20"/>
        </w:rPr>
        <w:t>6.1质量保障体系</w:t>
      </w:r>
      <w:r>
        <w:tab/>
      </w:r>
      <w:r>
        <w:fldChar w:fldCharType="begin"/>
      </w:r>
      <w:r>
        <w:instrText xml:space="preserve"> PAGEREF _Toc160195588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"_Toc160195589" </w:instrText>
      </w:r>
      <w:r>
        <w:fldChar w:fldCharType="separate"/>
      </w:r>
      <w:r>
        <w:rPr>
          <w:rStyle w:val="20"/>
        </w:rPr>
        <w:t>6.2质量监控制度及实施办法</w:t>
      </w:r>
      <w:r>
        <w:tab/>
      </w:r>
      <w:r>
        <w:fldChar w:fldCharType="begin"/>
      </w:r>
      <w:r>
        <w:instrText xml:space="preserve"> PAGEREF _Toc160195589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"_Toc160195590" </w:instrText>
      </w:r>
      <w:r>
        <w:fldChar w:fldCharType="separate"/>
      </w:r>
      <w:r>
        <w:rPr>
          <w:rStyle w:val="20"/>
        </w:rPr>
        <w:t>6.3质量评估反馈及持续改进</w:t>
      </w:r>
      <w:r>
        <w:tab/>
      </w:r>
      <w:r>
        <w:fldChar w:fldCharType="begin"/>
      </w:r>
      <w:r>
        <w:instrText xml:space="preserve"> PAGEREF _Toc160195590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"_Toc160195591" </w:instrText>
      </w:r>
      <w:r>
        <w:fldChar w:fldCharType="separate"/>
      </w:r>
      <w:r>
        <w:rPr>
          <w:rStyle w:val="20"/>
        </w:rPr>
        <w:t>6.4在校生与毕业生满意度</w:t>
      </w:r>
      <w:r>
        <w:tab/>
      </w:r>
      <w:r>
        <w:fldChar w:fldCharType="begin"/>
      </w:r>
      <w:r>
        <w:instrText xml:space="preserve"> PAGEREF _Toc160195591 \h </w:instrText>
      </w:r>
      <w:r>
        <w:fldChar w:fldCharType="separate"/>
      </w:r>
      <w:r>
        <w:t>19</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"_Toc160195592" </w:instrText>
      </w:r>
      <w:r>
        <w:fldChar w:fldCharType="separate"/>
      </w:r>
      <w:r>
        <w:rPr>
          <w:rStyle w:val="20"/>
        </w:rPr>
        <w:t>7.学生发展</w:t>
      </w:r>
      <w:r>
        <w:tab/>
      </w:r>
      <w:r>
        <w:fldChar w:fldCharType="begin"/>
      </w:r>
      <w:r>
        <w:instrText xml:space="preserve"> PAGEREF _Toc160195592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"_Toc160195593" </w:instrText>
      </w:r>
      <w:r>
        <w:fldChar w:fldCharType="separate"/>
      </w:r>
      <w:r>
        <w:rPr>
          <w:rStyle w:val="20"/>
        </w:rPr>
        <w:t>7.1本科在校生数量基本情况</w:t>
      </w:r>
      <w:r>
        <w:tab/>
      </w:r>
      <w:r>
        <w:fldChar w:fldCharType="begin"/>
      </w:r>
      <w:r>
        <w:instrText xml:space="preserve"> PAGEREF _Toc160195593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"_Toc160195594" </w:instrText>
      </w:r>
      <w:r>
        <w:fldChar w:fldCharType="separate"/>
      </w:r>
      <w:r>
        <w:rPr>
          <w:rStyle w:val="20"/>
        </w:rPr>
        <w:t>7.2专业招生录取率和新生报到率</w:t>
      </w:r>
      <w:r>
        <w:tab/>
      </w:r>
      <w:r>
        <w:fldChar w:fldCharType="begin"/>
      </w:r>
      <w:r>
        <w:instrText xml:space="preserve"> PAGEREF _Toc160195594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"_Toc160195595" </w:instrText>
      </w:r>
      <w:r>
        <w:fldChar w:fldCharType="separate"/>
      </w:r>
      <w:r>
        <w:rPr>
          <w:rStyle w:val="20"/>
        </w:rPr>
        <w:t>7.3毕业生毕业率、学位授予率与去向落实率</w:t>
      </w:r>
      <w:r>
        <w:tab/>
      </w:r>
      <w:r>
        <w:fldChar w:fldCharType="begin"/>
      </w:r>
      <w:r>
        <w:instrText xml:space="preserve"> PAGEREF _Toc160195595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"_Toc160195596" </w:instrText>
      </w:r>
      <w:r>
        <w:fldChar w:fldCharType="separate"/>
      </w:r>
      <w:r>
        <w:rPr>
          <w:rStyle w:val="20"/>
        </w:rPr>
        <w:t>7.4学风建设情况</w:t>
      </w:r>
      <w:r>
        <w:tab/>
      </w:r>
      <w:r>
        <w:fldChar w:fldCharType="begin"/>
      </w:r>
      <w:r>
        <w:instrText xml:space="preserve"> PAGEREF _Toc160195596 \h </w:instrText>
      </w:r>
      <w:r>
        <w:fldChar w:fldCharType="separate"/>
      </w:r>
      <w:r>
        <w:t>20</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"_Toc160195597" </w:instrText>
      </w:r>
      <w:r>
        <w:fldChar w:fldCharType="separate"/>
      </w:r>
      <w:r>
        <w:rPr>
          <w:rStyle w:val="20"/>
        </w:rPr>
        <w:t>8.特色发展与案例</w:t>
      </w:r>
      <w:r>
        <w:tab/>
      </w:r>
      <w:r>
        <w:fldChar w:fldCharType="begin"/>
      </w:r>
      <w:r>
        <w:instrText xml:space="preserve"> PAGEREF _Toc160195597 \h </w:instrText>
      </w:r>
      <w:r>
        <w:fldChar w:fldCharType="separate"/>
      </w:r>
      <w:r>
        <w:t>21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"_Toc160195598" </w:instrText>
      </w:r>
      <w:r>
        <w:fldChar w:fldCharType="separate"/>
      </w:r>
      <w:r>
        <w:rPr>
          <w:rStyle w:val="20"/>
        </w:rPr>
        <w:t>9.问题与对策</w:t>
      </w:r>
      <w:r>
        <w:tab/>
      </w:r>
      <w:r>
        <w:fldChar w:fldCharType="begin"/>
      </w:r>
      <w:r>
        <w:instrText xml:space="preserve"> PAGEREF _Toc160195598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"_Toc160195599" </w:instrText>
      </w:r>
      <w:r>
        <w:fldChar w:fldCharType="separate"/>
      </w:r>
      <w:r>
        <w:rPr>
          <w:rStyle w:val="20"/>
        </w:rPr>
        <w:t>9.1 存在的问题</w:t>
      </w:r>
      <w:r>
        <w:tab/>
      </w:r>
      <w:r>
        <w:fldChar w:fldCharType="begin"/>
      </w:r>
      <w:r>
        <w:instrText xml:space="preserve"> PAGEREF _Toc160195599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"_Toc160195600" </w:instrText>
      </w:r>
      <w:r>
        <w:fldChar w:fldCharType="separate"/>
      </w:r>
      <w:r>
        <w:rPr>
          <w:rStyle w:val="20"/>
        </w:rPr>
        <w:t>9.2 对策</w:t>
      </w:r>
      <w:r>
        <w:tab/>
      </w:r>
      <w:r>
        <w:fldChar w:fldCharType="begin"/>
      </w:r>
      <w:r>
        <w:instrText xml:space="preserve"> PAGEREF _Toc160195600 \h </w:instrText>
      </w:r>
      <w:r>
        <w:fldChar w:fldCharType="separate"/>
      </w:r>
      <w:r>
        <w:t>23</w:t>
      </w:r>
      <w:r>
        <w:fldChar w:fldCharType="end"/>
      </w:r>
      <w:r>
        <w:fldChar w:fldCharType="end"/>
      </w:r>
    </w:p>
    <w:p>
      <w:pPr>
        <w:pStyle w:val="23"/>
        <w:spacing w:before="98" w:beforeAutospacing="0" w:after="0" w:afterAutospacing="0"/>
        <w:ind w:left="597" w:right="231"/>
        <w:jc w:val="center"/>
      </w:pPr>
      <w:r>
        <w:fldChar w:fldCharType="end"/>
      </w:r>
    </w:p>
    <w:p>
      <w:r>
        <w:br w:type="page"/>
      </w:r>
    </w:p>
    <w:p>
      <w:pPr>
        <w:pStyle w:val="3"/>
        <w:jc w:val="center"/>
        <w:rPr>
          <w:rFonts w:ascii="宋体" w:hAnsi="宋体"/>
        </w:rPr>
      </w:pPr>
      <w:bookmarkStart w:id="1" w:name="_Toc160195563"/>
      <w:bookmarkStart w:id="2" w:name="_Toc128820648"/>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w:t>
      </w:r>
      <w:r>
        <w:rPr>
          <w:rFonts w:hint="eastAsia" w:ascii="仿宋" w:hAnsi="仿宋" w:eastAsia="仿宋" w:cstheme="minorBidi"/>
          <w:kern w:val="2"/>
          <w:sz w:val="28"/>
          <w:szCs w:val="28"/>
        </w:rPr>
        <w:t>2023</w:t>
      </w:r>
      <w:r>
        <w:rPr>
          <w:rFonts w:ascii="仿宋" w:hAnsi="仿宋" w:eastAsia="仿宋" w:cstheme="minorBidi"/>
          <w:kern w:val="2"/>
          <w:sz w:val="28"/>
          <w:szCs w:val="28"/>
        </w:rPr>
        <w:t>年自然年（即</w:t>
      </w:r>
      <w:r>
        <w:rPr>
          <w:rFonts w:hint="eastAsia" w:ascii="仿宋" w:hAnsi="仿宋" w:eastAsia="仿宋" w:cstheme="minorBidi"/>
          <w:kern w:val="2"/>
          <w:sz w:val="28"/>
          <w:szCs w:val="28"/>
        </w:rPr>
        <w:t>2023年</w:t>
      </w:r>
      <w:r>
        <w:rPr>
          <w:rFonts w:ascii="仿宋" w:hAnsi="仿宋" w:eastAsia="仿宋" w:cstheme="minorBidi"/>
          <w:kern w:val="2"/>
          <w:sz w:val="28"/>
          <w:szCs w:val="28"/>
        </w:rPr>
        <w:t>1月1日至12月31日），教学等其他数据统计时点为</w:t>
      </w:r>
      <w:r>
        <w:rPr>
          <w:rFonts w:hint="eastAsia" w:ascii="仿宋" w:hAnsi="仿宋" w:eastAsia="仿宋" w:cstheme="minorBidi"/>
          <w:kern w:val="2"/>
          <w:sz w:val="28"/>
          <w:szCs w:val="28"/>
        </w:rPr>
        <w:t>2022-2023学年（即</w:t>
      </w:r>
      <w:r>
        <w:rPr>
          <w:rFonts w:ascii="仿宋" w:hAnsi="仿宋" w:eastAsia="仿宋" w:cstheme="minorBidi"/>
          <w:kern w:val="2"/>
          <w:sz w:val="28"/>
          <w:szCs w:val="28"/>
        </w:rPr>
        <w:t xml:space="preserve"> </w:t>
      </w:r>
      <w:r>
        <w:rPr>
          <w:rFonts w:hint="eastAsia" w:ascii="仿宋" w:hAnsi="仿宋" w:eastAsia="仿宋" w:cstheme="minorBidi"/>
          <w:kern w:val="2"/>
          <w:sz w:val="28"/>
          <w:szCs w:val="28"/>
        </w:rPr>
        <w:t>2022</w:t>
      </w:r>
      <w:r>
        <w:rPr>
          <w:rFonts w:ascii="仿宋" w:hAnsi="仿宋" w:eastAsia="仿宋" w:cstheme="minorBidi"/>
          <w:kern w:val="2"/>
          <w:sz w:val="28"/>
          <w:szCs w:val="28"/>
        </w:rPr>
        <w:t>年 9 月 1 日至</w:t>
      </w:r>
      <w:r>
        <w:rPr>
          <w:rFonts w:hint="eastAsia" w:ascii="仿宋" w:hAnsi="仿宋" w:eastAsia="仿宋" w:cstheme="minorBidi"/>
          <w:kern w:val="2"/>
          <w:sz w:val="28"/>
          <w:szCs w:val="28"/>
        </w:rPr>
        <w:t>2023</w:t>
      </w:r>
      <w:r>
        <w:rPr>
          <w:rFonts w:ascii="仿宋" w:hAnsi="仿宋" w:eastAsia="仿宋" w:cstheme="minorBidi"/>
          <w:kern w:val="2"/>
          <w:sz w:val="28"/>
          <w:szCs w:val="28"/>
        </w:rPr>
        <w:t>年 8 月 31 日）。</w:t>
      </w:r>
    </w:p>
    <w:p>
      <w:pPr>
        <w:rPr>
          <w:rFonts w:ascii="仿宋" w:hAnsi="仿宋" w:eastAsia="仿宋" w:cstheme="minorBidi"/>
          <w:kern w:val="2"/>
          <w:sz w:val="28"/>
          <w:szCs w:val="28"/>
        </w:rPr>
      </w:pPr>
      <w:r>
        <w:rPr>
          <w:rFonts w:ascii="仿宋" w:hAnsi="仿宋" w:eastAsia="仿宋" w:cstheme="minorBidi"/>
          <w:kern w:val="2"/>
          <w:sz w:val="28"/>
          <w:szCs w:val="28"/>
        </w:rPr>
        <w:br w:type="page"/>
      </w:r>
    </w:p>
    <w:p>
      <w:pPr>
        <w:pStyle w:val="3"/>
        <w:pageBreakBefore/>
        <w:spacing w:after="120" w:line="276" w:lineRule="auto"/>
        <w:jc w:val="left"/>
        <w:rPr>
          <w:rFonts w:ascii="宋体" w:hAnsi="宋体"/>
          <w:sz w:val="28"/>
          <w:szCs w:val="28"/>
        </w:rPr>
      </w:pPr>
      <w:bookmarkStart w:id="3" w:name="_Toc160195564"/>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4"/>
        <w:spacing w:line="276" w:lineRule="auto"/>
        <w:rPr>
          <w:rFonts w:ascii="宋体" w:hAnsi="宋体" w:eastAsia="宋体"/>
          <w:b w:val="0"/>
          <w:bCs w:val="0"/>
          <w:sz w:val="24"/>
          <w:szCs w:val="24"/>
        </w:rPr>
      </w:pPr>
      <w:bookmarkStart w:id="4" w:name="_Toc160195565"/>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rPr>
                <w:sz w:val="21"/>
                <w:szCs w:val="21"/>
              </w:rPr>
            </w:pPr>
            <w:r>
              <w:rPr>
                <w:rFonts w:hint="eastAsia"/>
                <w:sz w:val="21"/>
                <w:szCs w:val="21"/>
              </w:rPr>
              <w:t>学校情况</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120403</w:t>
            </w:r>
            <w:bookmarkStart w:id="5" w:name="OLE_LINK2"/>
            <w:bookmarkEnd w:id="5"/>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劳动与社会保障</w:t>
            </w:r>
            <w:bookmarkStart w:id="6" w:name="OLE_LINK3"/>
            <w:bookmarkEnd w:id="6"/>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管理学院</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2004</w:t>
            </w:r>
            <w:bookmarkStart w:id="7" w:name="OLE_LINK4"/>
            <w:bookmarkEnd w:id="7"/>
          </w:p>
        </w:tc>
      </w:tr>
      <w:tr>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省级一流专业建设点</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4</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6</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管理学</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131</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9</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66</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0</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97.73</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17.95</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14.56</w:t>
            </w:r>
          </w:p>
        </w:tc>
      </w:tr>
      <w:tr>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2.62</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沈世勇</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否</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教授</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博士研究生</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是</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是</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3</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3</w:t>
            </w:r>
          </w:p>
        </w:tc>
      </w:tr>
    </w:tbl>
    <w:p>
      <w:bookmarkStart w:id="11" w:name="_TOC_250067"/>
      <w:bookmarkEnd w:id="11"/>
      <w:bookmarkStart w:id="12" w:name="_TOC_250064"/>
      <w:bookmarkEnd w:id="12"/>
    </w:p>
    <w:p>
      <w:pPr>
        <w:pStyle w:val="4"/>
        <w:adjustRightInd w:val="0"/>
        <w:snapToGrid w:val="0"/>
        <w:spacing w:line="360" w:lineRule="auto"/>
        <w:rPr>
          <w:rFonts w:ascii="宋体" w:hAnsi="宋体" w:eastAsia="宋体"/>
          <w:b w:val="0"/>
          <w:bCs w:val="0"/>
          <w:sz w:val="24"/>
          <w:szCs w:val="24"/>
        </w:rPr>
      </w:pPr>
      <w:bookmarkStart w:id="13" w:name="_Toc160195566"/>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shd w:val="clear" w:color="auto" w:fill="FFFFFF"/>
        <w:adjustRightInd w:val="0"/>
        <w:snapToGrid w:val="0"/>
        <w:spacing w:line="360" w:lineRule="auto"/>
        <w:ind w:firstLine="480" w:firstLineChars="200"/>
        <w:rPr>
          <w:color w:val="333333"/>
        </w:rPr>
      </w:pPr>
      <w:r>
        <w:rPr>
          <w:rFonts w:hint="eastAsia"/>
          <w:color w:val="333333"/>
        </w:rPr>
        <w:t>以习近平新时代中国特色社会主义思想为指导，落实立德树人根本任务。培养具有国际化视野，掌握劳动与社会保障基本理论、政策、技术与方法，基础理论扎实、专业知识丰富、实践与创新能力强，崇尚热爱劳动、无私奉献的精神，德智体美劳全面发展，在政府相关职能部门、各类企事业单位和社会组织等机构，胜任劳动与社会保障管理岗位的高素质应用型人才。</w:t>
      </w:r>
    </w:p>
    <w:p>
      <w:pPr>
        <w:pStyle w:val="3"/>
        <w:spacing w:after="120" w:line="415" w:lineRule="auto"/>
        <w:jc w:val="left"/>
        <w:rPr>
          <w:rFonts w:ascii="宋体" w:hAnsi="宋体"/>
          <w:sz w:val="28"/>
          <w:szCs w:val="28"/>
        </w:rPr>
      </w:pPr>
      <w:bookmarkStart w:id="14" w:name="_Toc160195567"/>
      <w:r>
        <w:rPr>
          <w:rFonts w:ascii="宋体" w:hAnsi="宋体"/>
          <w:sz w:val="28"/>
          <w:szCs w:val="28"/>
        </w:rPr>
        <w:t>2.</w:t>
      </w:r>
      <w:r>
        <w:rPr>
          <w:rFonts w:hint="eastAsia" w:ascii="宋体" w:hAnsi="宋体"/>
          <w:sz w:val="28"/>
          <w:szCs w:val="28"/>
        </w:rPr>
        <w:t>毕业要求</w:t>
      </w:r>
      <w:bookmarkEnd w:id="14"/>
    </w:p>
    <w:p>
      <w:pPr>
        <w:shd w:val="clear" w:color="auto" w:fill="FFFFFF"/>
        <w:adjustRightInd w:val="0"/>
        <w:snapToGrid w:val="0"/>
        <w:spacing w:line="360" w:lineRule="auto"/>
        <w:ind w:firstLine="480" w:firstLineChars="200"/>
        <w:rPr>
          <w:color w:val="333333"/>
        </w:rPr>
      </w:pPr>
      <w:r>
        <w:rPr>
          <w:rFonts w:hint="eastAsia"/>
          <w:color w:val="333333"/>
        </w:rPr>
        <w:t>本专业要求学生掌握现代管理学、经济学、政治学、法学、社会学等相关的专业基础知识，掌握中国特色劳动与社会保障改革发展的理论与实践，了解国际劳动与社会保障的发展态势，具备运用专业知识和现代技术手段，胜任劳动与社会保障的管理工作。</w:t>
      </w:r>
    </w:p>
    <w:p>
      <w:pPr>
        <w:shd w:val="clear" w:color="auto" w:fill="FFFFFF"/>
        <w:adjustRightInd w:val="0"/>
        <w:snapToGrid w:val="0"/>
        <w:spacing w:line="360" w:lineRule="auto"/>
        <w:ind w:firstLine="480" w:firstLineChars="200"/>
        <w:rPr>
          <w:color w:val="333333"/>
        </w:rPr>
      </w:pPr>
      <w:r>
        <w:rPr>
          <w:rFonts w:hint="eastAsia"/>
          <w:color w:val="333333"/>
        </w:rPr>
        <w:t>（1）坚持中国特色社会主义的理论、制度与价值，具有法治观念，能够在劳动与社会保障的管理实践中崇尚劳动、无私奉献，具备敬业精神和职业道德；</w:t>
      </w:r>
    </w:p>
    <w:p>
      <w:pPr>
        <w:shd w:val="clear" w:color="auto" w:fill="FFFFFF"/>
        <w:adjustRightInd w:val="0"/>
        <w:snapToGrid w:val="0"/>
        <w:spacing w:line="360" w:lineRule="auto"/>
        <w:ind w:firstLine="480" w:firstLineChars="200"/>
        <w:rPr>
          <w:color w:val="333333"/>
        </w:rPr>
      </w:pPr>
      <w:r>
        <w:rPr>
          <w:rFonts w:hint="eastAsia"/>
          <w:color w:val="333333"/>
        </w:rPr>
        <w:t>（2）掌握现代管理学、经济学、政治学、法学、社会学等相关的专业基础知识和方法；</w:t>
      </w:r>
    </w:p>
    <w:p>
      <w:pPr>
        <w:shd w:val="clear" w:color="auto" w:fill="FFFFFF"/>
        <w:adjustRightInd w:val="0"/>
        <w:snapToGrid w:val="0"/>
        <w:spacing w:line="360" w:lineRule="auto"/>
        <w:ind w:firstLine="480" w:firstLineChars="200"/>
        <w:rPr>
          <w:color w:val="333333"/>
        </w:rPr>
      </w:pPr>
      <w:r>
        <w:rPr>
          <w:rFonts w:hint="eastAsia"/>
          <w:color w:val="333333"/>
        </w:rPr>
        <w:t>（3）熟悉我国劳动与社会保障领域的法律法规、体制机制、方针政策；</w:t>
      </w:r>
    </w:p>
    <w:p>
      <w:pPr>
        <w:shd w:val="clear" w:color="auto" w:fill="FFFFFF"/>
        <w:adjustRightInd w:val="0"/>
        <w:snapToGrid w:val="0"/>
        <w:spacing w:line="360" w:lineRule="auto"/>
        <w:ind w:firstLine="480" w:firstLineChars="200"/>
        <w:rPr>
          <w:color w:val="333333"/>
        </w:rPr>
      </w:pPr>
      <w:r>
        <w:rPr>
          <w:rFonts w:hint="eastAsia"/>
          <w:color w:val="333333"/>
        </w:rPr>
        <w:t>（4）了解国内外劳动与社会保障改革发展的动态；</w:t>
      </w:r>
    </w:p>
    <w:p>
      <w:pPr>
        <w:shd w:val="clear" w:color="auto" w:fill="FFFFFF"/>
        <w:adjustRightInd w:val="0"/>
        <w:snapToGrid w:val="0"/>
        <w:spacing w:line="360" w:lineRule="auto"/>
        <w:ind w:firstLine="480" w:firstLineChars="200"/>
        <w:rPr>
          <w:color w:val="333333"/>
        </w:rPr>
      </w:pPr>
      <w:r>
        <w:rPr>
          <w:rFonts w:hint="eastAsia"/>
          <w:color w:val="333333"/>
        </w:rPr>
        <w:t>（5）具备较强的计算机应用技能，能应用统计软件，来收集、处理、分析劳动与社会保障的相关数据，了解智慧管理的基本知识；</w:t>
      </w:r>
    </w:p>
    <w:p>
      <w:pPr>
        <w:shd w:val="clear" w:color="auto" w:fill="FFFFFF"/>
        <w:adjustRightInd w:val="0"/>
        <w:snapToGrid w:val="0"/>
        <w:spacing w:line="360" w:lineRule="auto"/>
        <w:ind w:firstLine="480" w:firstLineChars="200"/>
        <w:rPr>
          <w:color w:val="333333"/>
        </w:rPr>
      </w:pPr>
      <w:r>
        <w:rPr>
          <w:rFonts w:hint="eastAsia"/>
          <w:color w:val="333333"/>
        </w:rPr>
        <w:t>（6）具备劳动与社会保障管理岗位的组织协调能力、表达沟通能力、社会调查能力和写作能力；</w:t>
      </w:r>
    </w:p>
    <w:p>
      <w:pPr>
        <w:shd w:val="clear" w:color="auto" w:fill="FFFFFF"/>
        <w:adjustRightInd w:val="0"/>
        <w:snapToGrid w:val="0"/>
        <w:spacing w:line="360" w:lineRule="auto"/>
        <w:ind w:firstLine="480" w:firstLineChars="200"/>
        <w:rPr>
          <w:color w:val="333333"/>
        </w:rPr>
      </w:pPr>
      <w:r>
        <w:rPr>
          <w:rFonts w:hint="eastAsia"/>
          <w:color w:val="333333"/>
        </w:rPr>
        <w:t>（7）掌握劳动与社会保障领域的文献检索、社会调查、研究方法，具备初步的科学研究能力；</w:t>
      </w:r>
    </w:p>
    <w:p>
      <w:pPr>
        <w:shd w:val="clear" w:color="auto" w:fill="FFFFFF"/>
        <w:adjustRightInd w:val="0"/>
        <w:snapToGrid w:val="0"/>
        <w:spacing w:line="360" w:lineRule="auto"/>
        <w:ind w:firstLine="480" w:firstLineChars="200"/>
        <w:rPr>
          <w:color w:val="333333"/>
        </w:rPr>
      </w:pPr>
      <w:r>
        <w:rPr>
          <w:rFonts w:hint="eastAsia"/>
          <w:color w:val="333333"/>
        </w:rPr>
        <w:t>（8）熟练掌握一门外语，能顺利地阅读本专业外文文献，并具有听、说、写的基础。</w:t>
      </w:r>
    </w:p>
    <w:p>
      <w:pPr>
        <w:pStyle w:val="3"/>
        <w:spacing w:before="0" w:after="120" w:line="415" w:lineRule="auto"/>
        <w:jc w:val="left"/>
        <w:rPr>
          <w:rFonts w:ascii="宋体" w:hAnsi="宋体"/>
          <w:sz w:val="28"/>
          <w:szCs w:val="28"/>
        </w:rPr>
      </w:pPr>
      <w:bookmarkStart w:id="15" w:name="_Toc160195568"/>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spacing w:before="0"/>
        <w:rPr>
          <w:rFonts w:ascii="宋体" w:hAnsi="宋体" w:eastAsia="宋体"/>
          <w:b w:val="0"/>
          <w:bCs w:val="0"/>
          <w:sz w:val="24"/>
          <w:szCs w:val="24"/>
        </w:rPr>
      </w:pPr>
      <w:bookmarkStart w:id="16" w:name="_Toc160195569"/>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shd w:val="clear" w:color="auto" w:fill="FFFFFF"/>
        <w:adjustRightInd w:val="0"/>
        <w:snapToGrid w:val="0"/>
        <w:spacing w:line="360" w:lineRule="auto"/>
        <w:ind w:firstLine="480" w:firstLineChars="200"/>
        <w:rPr>
          <w:color w:val="333333"/>
        </w:rPr>
      </w:pPr>
      <w:r>
        <w:rPr>
          <w:rFonts w:hint="eastAsia"/>
          <w:color w:val="333333"/>
        </w:rPr>
        <w:t>本年度，专业老师获批校课程思政建设项目一项:</w:t>
      </w:r>
    </w:p>
    <w:p>
      <w:pPr>
        <w:shd w:val="clear" w:color="auto" w:fill="FFFFFF"/>
        <w:adjustRightInd w:val="0"/>
        <w:snapToGrid w:val="0"/>
        <w:spacing w:line="360" w:lineRule="auto"/>
        <w:ind w:firstLine="480" w:firstLineChars="200"/>
        <w:rPr>
          <w:color w:val="333333"/>
        </w:rPr>
      </w:pPr>
      <w:r>
        <w:rPr>
          <w:rFonts w:hint="eastAsia"/>
          <w:color w:val="333333"/>
        </w:rPr>
        <w:t>本年度，结合专业评估要求，专业组织全体教师对教学大纲、教学方案、讲稿、教案、课内实验安排和多媒体课件等教学文件及资料进行了修订和汇编。按学院要求标准及第一轮审核性评估时专家给出的评议反馈，对专业过往三年的课程试卷资料进行了重新归档。</w:t>
      </w:r>
    </w:p>
    <w:p>
      <w:pPr>
        <w:shd w:val="clear" w:color="auto" w:fill="FFFFFF"/>
        <w:adjustRightInd w:val="0"/>
        <w:snapToGrid w:val="0"/>
        <w:spacing w:line="360" w:lineRule="auto"/>
        <w:ind w:firstLine="480" w:firstLineChars="200"/>
        <w:rPr>
          <w:rFonts w:hint="eastAsia"/>
          <w:color w:val="333333"/>
        </w:rPr>
      </w:pPr>
      <w:r>
        <w:rPr>
          <w:color w:val="333333"/>
        </w:rPr>
        <w:t>202</w:t>
      </w:r>
      <w:r>
        <w:rPr>
          <w:rFonts w:hint="eastAsia"/>
          <w:color w:val="333333"/>
        </w:rPr>
        <w:t>3</w:t>
      </w:r>
      <w:r>
        <w:rPr>
          <w:color w:val="333333"/>
        </w:rPr>
        <w:t>年</w:t>
      </w:r>
      <w:r>
        <w:rPr>
          <w:rFonts w:hint="eastAsia"/>
          <w:color w:val="333333"/>
        </w:rPr>
        <w:t>6月</w:t>
      </w:r>
      <w:r>
        <w:rPr>
          <w:color w:val="333333"/>
        </w:rPr>
        <w:t>，本专业</w:t>
      </w:r>
      <w:r>
        <w:rPr>
          <w:rFonts w:hint="eastAsia"/>
          <w:color w:val="333333"/>
        </w:rPr>
        <w:t>修订了</w:t>
      </w:r>
      <w:r>
        <w:rPr>
          <w:color w:val="333333"/>
        </w:rPr>
        <w:t>最新一版培养方案，要求相应任课教师根据培养方案变化及时更新了教学大纲，尤其是强调了课程思政在专业课教学大纲中的反映，使大纲能够准确体现最新的人才培养目标要求。</w:t>
      </w:r>
      <w:r>
        <w:rPr>
          <w:rFonts w:hint="eastAsia"/>
          <w:color w:val="333333"/>
        </w:rPr>
        <w:t>专业培养方案及各门课程最新修订后的大纲和课程简介均已上传学校教学管理新系统。</w:t>
      </w:r>
    </w:p>
    <w:p>
      <w:pPr>
        <w:shd w:val="clear" w:color="auto" w:fill="FFFFFF"/>
        <w:adjustRightInd w:val="0"/>
        <w:snapToGrid w:val="0"/>
        <w:spacing w:line="360" w:lineRule="auto"/>
        <w:ind w:firstLine="480" w:firstLineChars="200"/>
        <w:rPr>
          <w:rFonts w:hint="eastAsia"/>
          <w:color w:val="333333"/>
        </w:rPr>
      </w:pPr>
      <w:r>
        <w:rPr>
          <w:color w:val="333333"/>
        </w:rPr>
        <w:t>2023年</w:t>
      </w:r>
      <w:r>
        <w:rPr>
          <w:rFonts w:hint="eastAsia"/>
          <w:color w:val="333333"/>
        </w:rPr>
        <w:t>，本专业</w:t>
      </w:r>
      <w:r>
        <w:rPr>
          <w:color w:val="333333"/>
        </w:rPr>
        <w:t>《社会保障概论》</w:t>
      </w:r>
      <w:r>
        <w:rPr>
          <w:rFonts w:hint="eastAsia"/>
          <w:color w:val="333333"/>
        </w:rPr>
        <w:t>（沈世勇老师）课程</w:t>
      </w:r>
      <w:r>
        <w:rPr>
          <w:color w:val="333333"/>
        </w:rPr>
        <w:t>被认定为上海工程技术大学一流本科课程。</w:t>
      </w:r>
    </w:p>
    <w:p>
      <w:pPr>
        <w:pStyle w:val="4"/>
        <w:spacing w:line="240" w:lineRule="auto"/>
        <w:rPr>
          <w:rFonts w:ascii="宋体" w:hAnsi="宋体" w:eastAsia="宋体"/>
          <w:b w:val="0"/>
          <w:bCs w:val="0"/>
          <w:sz w:val="24"/>
          <w:szCs w:val="24"/>
        </w:rPr>
      </w:pPr>
      <w:bookmarkStart w:id="17" w:name="_Toc160195570"/>
      <w:r>
        <w:rPr>
          <w:rFonts w:ascii="宋体" w:hAnsi="宋体" w:eastAsia="宋体"/>
          <w:b w:val="0"/>
          <w:bCs w:val="0"/>
          <w:sz w:val="24"/>
          <w:szCs w:val="24"/>
        </w:rPr>
        <w:t>3.2专业教学计划</w:t>
      </w:r>
      <w:bookmarkEnd w:id="17"/>
    </w:p>
    <w:p>
      <w:pPr>
        <w:pStyle w:val="5"/>
        <w:spacing w:line="240" w:lineRule="auto"/>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bookmarkStart w:id="18" w:name="OLE_LINK10"/>
            <w:r>
              <w:rPr>
                <w:rFonts w:hint="eastAsia"/>
                <w:sz w:val="21"/>
                <w:szCs w:val="22"/>
              </w:rPr>
              <w:t>理论教学</w:t>
            </w:r>
            <w:bookmarkEnd w:id="18"/>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1974</w:t>
            </w:r>
            <w:bookmarkStart w:id="19" w:name="OLE_LINK8"/>
            <w:bookmarkEnd w:id="1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57.05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114.38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73.79</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1486</w:t>
            </w:r>
            <w:bookmarkStart w:id="20" w:name="OLE_LINK9"/>
            <w:bookmarkEnd w:id="2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42.95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6.62</w:t>
            </w:r>
            <w:bookmarkStart w:id="21" w:name="OLE_LINK11"/>
            <w:bookmarkEnd w:id="21"/>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4.27</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19.35</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2.58</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3460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155</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bookmarkStart w:id="23" w:name="OLE_LINK13"/>
            <w:r>
              <w:rPr>
                <w:rFonts w:hint="eastAsia"/>
                <w:sz w:val="21"/>
                <w:szCs w:val="22"/>
              </w:rPr>
              <w:t>专业必修课</w:t>
            </w:r>
            <w:bookmarkEnd w:id="23"/>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2096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59.41</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131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59.28</w:t>
            </w:r>
          </w:p>
        </w:tc>
      </w:tr>
      <w:tr>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1432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40.59</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90</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40.72</w:t>
            </w:r>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4" w:name="_Toc160195571"/>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60</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114</w:t>
            </w:r>
          </w:p>
        </w:tc>
      </w:tr>
      <w:tr>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w:t>
            </w:r>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5" w:name="_Toc160195572"/>
      <w:r>
        <w:rPr>
          <w:rFonts w:ascii="宋体" w:hAnsi="宋体" w:eastAsia="宋体"/>
          <w:b w:val="0"/>
          <w:bCs w:val="0"/>
          <w:sz w:val="24"/>
          <w:szCs w:val="24"/>
        </w:rPr>
        <w:t>3.4专业课课堂规模</w:t>
      </w:r>
      <w:bookmarkEnd w:id="25"/>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c>
          <w:tcPr>
            <w:tcW w:w="539" w:type="pct"/>
            <w:vAlign w:val="center"/>
          </w:tcPr>
          <w:p>
            <w:pPr>
              <w:jc w:val="center"/>
              <w:rPr>
                <w:sz w:val="21"/>
                <w:szCs w:val="21"/>
              </w:rPr>
            </w:pPr>
          </w:p>
        </w:tc>
        <w:tc>
          <w:tcPr>
            <w:tcW w:w="802"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c>
          <w:tcPr>
            <w:tcW w:w="539" w:type="pct"/>
            <w:vAlign w:val="center"/>
          </w:tcPr>
          <w:p>
            <w:pPr>
              <w:jc w:val="center"/>
              <w:rPr>
                <w:sz w:val="21"/>
                <w:szCs w:val="21"/>
              </w:rPr>
            </w:pPr>
            <w:r>
              <w:rPr>
                <w:rFonts w:hint="eastAsia"/>
                <w:sz w:val="21"/>
                <w:szCs w:val="21"/>
              </w:rPr>
              <w:t>数量</w:t>
            </w:r>
          </w:p>
        </w:tc>
        <w:tc>
          <w:tcPr>
            <w:tcW w:w="802" w:type="pct"/>
            <w:vAlign w:val="center"/>
          </w:tcPr>
          <w:p>
            <w:pPr>
              <w:jc w:val="center"/>
              <w:rPr>
                <w:sz w:val="21"/>
                <w:szCs w:val="21"/>
              </w:rPr>
            </w:pPr>
            <w:r>
              <w:rPr>
                <w:sz w:val="21"/>
                <w:szCs w:val="21"/>
              </w:rPr>
              <w:t>69.8</w:t>
            </w:r>
          </w:p>
        </w:tc>
        <w:tc>
          <w:tcPr>
            <w:tcW w:w="847" w:type="pct"/>
            <w:vAlign w:val="center"/>
          </w:tcPr>
          <w:p>
            <w:pPr>
              <w:jc w:val="center"/>
              <w:rPr>
                <w:sz w:val="21"/>
                <w:szCs w:val="21"/>
              </w:rPr>
            </w:pPr>
            <w:r>
              <w:rPr>
                <w:sz w:val="21"/>
                <w:szCs w:val="21"/>
              </w:rPr>
              <w:t>10</w:t>
            </w:r>
            <w:bookmarkStart w:id="26" w:name="OLE_LINK14"/>
            <w:bookmarkEnd w:id="26"/>
          </w:p>
        </w:tc>
        <w:tc>
          <w:tcPr>
            <w:tcW w:w="982" w:type="pct"/>
            <w:vAlign w:val="center"/>
          </w:tcPr>
          <w:p>
            <w:pPr>
              <w:jc w:val="center"/>
              <w:rPr>
                <w:sz w:val="21"/>
                <w:szCs w:val="21"/>
              </w:rPr>
            </w:pPr>
            <w:r>
              <w:rPr>
                <w:sz w:val="21"/>
                <w:szCs w:val="21"/>
              </w:rPr>
              <w:t>39</w:t>
            </w:r>
            <w:bookmarkStart w:id="27" w:name="OLE_LINK15"/>
            <w:bookmarkEnd w:id="27"/>
          </w:p>
        </w:tc>
        <w:tc>
          <w:tcPr>
            <w:tcW w:w="982" w:type="pct"/>
            <w:vAlign w:val="center"/>
          </w:tcPr>
          <w:p>
            <w:pPr>
              <w:jc w:val="center"/>
              <w:rPr>
                <w:sz w:val="21"/>
                <w:szCs w:val="21"/>
              </w:rPr>
            </w:pPr>
            <w:r>
              <w:rPr>
                <w:sz w:val="21"/>
                <w:szCs w:val="21"/>
              </w:rPr>
              <w:t>42</w:t>
            </w:r>
          </w:p>
        </w:tc>
        <w:tc>
          <w:tcPr>
            <w:tcW w:w="847" w:type="pct"/>
            <w:vAlign w:val="center"/>
          </w:tcPr>
          <w:p>
            <w:pPr>
              <w:jc w:val="center"/>
              <w:rPr>
                <w:sz w:val="21"/>
                <w:szCs w:val="21"/>
              </w:rPr>
            </w:pPr>
            <w:r>
              <w:rPr>
                <w:sz w:val="21"/>
                <w:szCs w:val="21"/>
              </w:rPr>
              <w:t>23</w:t>
            </w:r>
          </w:p>
        </w:tc>
      </w:tr>
      <w:tr>
        <w:tc>
          <w:tcPr>
            <w:tcW w:w="539" w:type="pct"/>
            <w:vAlign w:val="center"/>
          </w:tcPr>
          <w:p>
            <w:pPr>
              <w:jc w:val="center"/>
              <w:rPr>
                <w:sz w:val="21"/>
                <w:szCs w:val="21"/>
              </w:rPr>
            </w:pPr>
            <w:r>
              <w:rPr>
                <w:rFonts w:hint="eastAsia"/>
                <w:sz w:val="21"/>
                <w:szCs w:val="21"/>
              </w:rPr>
              <w:t>比例（%）</w:t>
            </w:r>
          </w:p>
        </w:tc>
        <w:tc>
          <w:tcPr>
            <w:tcW w:w="802"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8.77</w:t>
            </w:r>
          </w:p>
        </w:tc>
        <w:tc>
          <w:tcPr>
            <w:tcW w:w="982" w:type="pct"/>
            <w:vAlign w:val="center"/>
          </w:tcPr>
          <w:p>
            <w:pPr>
              <w:jc w:val="center"/>
              <w:rPr>
                <w:sz w:val="21"/>
                <w:szCs w:val="21"/>
              </w:rPr>
            </w:pPr>
            <w:r>
              <w:rPr>
                <w:sz w:val="21"/>
                <w:szCs w:val="21"/>
              </w:rPr>
              <w:t>34.21</w:t>
            </w:r>
            <w:bookmarkStart w:id="28" w:name="OLE_LINK16"/>
            <w:bookmarkEnd w:id="28"/>
          </w:p>
        </w:tc>
        <w:tc>
          <w:tcPr>
            <w:tcW w:w="982" w:type="pct"/>
            <w:vAlign w:val="center"/>
          </w:tcPr>
          <w:p>
            <w:pPr>
              <w:jc w:val="center"/>
              <w:rPr>
                <w:sz w:val="21"/>
                <w:szCs w:val="21"/>
              </w:rPr>
            </w:pPr>
            <w:r>
              <w:rPr>
                <w:sz w:val="21"/>
                <w:szCs w:val="21"/>
              </w:rPr>
              <w:t>36.84</w:t>
            </w:r>
          </w:p>
        </w:tc>
        <w:tc>
          <w:tcPr>
            <w:tcW w:w="847" w:type="pct"/>
            <w:vAlign w:val="center"/>
          </w:tcPr>
          <w:p>
            <w:pPr>
              <w:jc w:val="center"/>
              <w:rPr>
                <w:sz w:val="21"/>
                <w:szCs w:val="21"/>
              </w:rPr>
            </w:pPr>
            <w:r>
              <w:rPr>
                <w:sz w:val="21"/>
                <w:szCs w:val="21"/>
              </w:rPr>
              <w:t>20.18</w:t>
            </w:r>
            <w:bookmarkStart w:id="29" w:name="OLE_LINK17"/>
            <w:bookmarkEnd w:id="29"/>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30" w:name="_Toc160195573"/>
      <w:r>
        <w:rPr>
          <w:rFonts w:ascii="宋体" w:hAnsi="宋体" w:eastAsia="宋体"/>
          <w:b w:val="0"/>
          <w:bCs w:val="0"/>
          <w:sz w:val="24"/>
          <w:szCs w:val="24"/>
        </w:rPr>
        <w:t>3.5专业的核心课程情况</w:t>
      </w:r>
      <w:bookmarkEnd w:id="3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rPr>
          <w:jc w:val="center"/>
        </w:trPr>
        <w:tc>
          <w:tcPr>
            <w:tcW w:w="1185" w:type="dxa"/>
            <w:vAlign w:val="center"/>
          </w:tcPr>
          <w:p>
            <w:pPr>
              <w:jc w:val="center"/>
            </w:pPr>
            <w:r>
              <w:rPr>
                <w:rFonts w:hint="eastAsia"/>
                <w:sz w:val="21"/>
                <w:szCs w:val="22"/>
              </w:rPr>
              <w:t>课程名称</w:t>
            </w:r>
          </w:p>
        </w:tc>
        <w:tc>
          <w:tcPr>
            <w:tcW w:w="1185"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185" w:type="dxa"/>
            <w:vAlign w:val="center"/>
          </w:tcPr>
          <w:p>
            <w:pPr>
              <w:jc w:val="center"/>
            </w:pPr>
            <w:r>
              <w:rPr>
                <w:rFonts w:hint="eastAsia"/>
                <w:sz w:val="21"/>
                <w:szCs w:val="22"/>
              </w:rPr>
              <w:t>课程类别</w:t>
            </w:r>
          </w:p>
        </w:tc>
        <w:tc>
          <w:tcPr>
            <w:tcW w:w="118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rPr>
          <w:jc w:val="center"/>
        </w:trPr>
        <w:tc>
          <w:tcPr>
            <w:tcW w:w="1185" w:type="dxa"/>
            <w:vAlign w:val="center"/>
          </w:tcPr>
          <w:p>
            <w:pPr>
              <w:jc w:val="center"/>
              <w:rPr>
                <w:sz w:val="20"/>
                <w:szCs w:val="20"/>
              </w:rPr>
            </w:pPr>
            <w:r>
              <w:rPr>
                <w:sz w:val="20"/>
                <w:szCs w:val="20"/>
              </w:rPr>
              <w:t>管理学</w:t>
            </w:r>
          </w:p>
        </w:tc>
        <w:tc>
          <w:tcPr>
            <w:tcW w:w="1185" w:type="dxa"/>
            <w:vAlign w:val="center"/>
          </w:tcPr>
          <w:p>
            <w:pPr>
              <w:jc w:val="center"/>
              <w:rPr>
                <w:sz w:val="20"/>
                <w:szCs w:val="20"/>
              </w:rPr>
            </w:pPr>
            <w:r>
              <w:rPr>
                <w:sz w:val="20"/>
                <w:szCs w:val="20"/>
              </w:rPr>
              <w:t>030101</w:t>
            </w:r>
          </w:p>
        </w:tc>
        <w:tc>
          <w:tcPr>
            <w:tcW w:w="1185" w:type="dxa"/>
            <w:vAlign w:val="center"/>
          </w:tcPr>
          <w:p>
            <w:pPr>
              <w:jc w:val="center"/>
              <w:rPr>
                <w:sz w:val="20"/>
                <w:szCs w:val="20"/>
              </w:rPr>
            </w:pPr>
            <w:r>
              <w:rPr>
                <w:sz w:val="20"/>
                <w:szCs w:val="20"/>
              </w:rPr>
              <w:t>理论课</w:t>
            </w:r>
          </w:p>
        </w:tc>
        <w:tc>
          <w:tcPr>
            <w:tcW w:w="1185" w:type="dxa"/>
            <w:vAlign w:val="center"/>
          </w:tcPr>
          <w:p>
            <w:pPr>
              <w:jc w:val="center"/>
              <w:rPr>
                <w:sz w:val="20"/>
                <w:szCs w:val="20"/>
              </w:rPr>
            </w:pPr>
            <w:r>
              <w:rPr>
                <w:sz w:val="20"/>
                <w:szCs w:val="20"/>
              </w:rPr>
              <w:t>专业必修课</w:t>
            </w:r>
          </w:p>
        </w:tc>
        <w:tc>
          <w:tcPr>
            <w:tcW w:w="118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80</w:t>
            </w:r>
          </w:p>
        </w:tc>
      </w:tr>
      <w:tr>
        <w:trPr>
          <w:jc w:val="center"/>
        </w:trPr>
        <w:tc>
          <w:tcPr>
            <w:tcW w:w="1185" w:type="dxa"/>
            <w:vAlign w:val="center"/>
          </w:tcPr>
          <w:p>
            <w:pPr>
              <w:jc w:val="center"/>
              <w:rPr>
                <w:sz w:val="20"/>
                <w:szCs w:val="20"/>
              </w:rPr>
            </w:pPr>
            <w:r>
              <w:rPr>
                <w:sz w:val="20"/>
              </w:rPr>
              <w:t>统计学</w:t>
            </w:r>
          </w:p>
        </w:tc>
        <w:tc>
          <w:tcPr>
            <w:tcW w:w="1185" w:type="dxa"/>
            <w:vAlign w:val="center"/>
          </w:tcPr>
          <w:p>
            <w:pPr>
              <w:jc w:val="center"/>
              <w:rPr>
                <w:sz w:val="20"/>
                <w:szCs w:val="20"/>
              </w:rPr>
            </w:pPr>
            <w:r>
              <w:rPr>
                <w:sz w:val="20"/>
              </w:rPr>
              <w:t>030205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60.5</w:t>
            </w:r>
          </w:p>
        </w:tc>
      </w:tr>
      <w:tr>
        <w:trPr>
          <w:jc w:val="center"/>
        </w:trPr>
        <w:tc>
          <w:tcPr>
            <w:tcW w:w="1185" w:type="dxa"/>
            <w:vAlign w:val="center"/>
          </w:tcPr>
          <w:p>
            <w:pPr>
              <w:jc w:val="center"/>
              <w:rPr>
                <w:sz w:val="20"/>
                <w:szCs w:val="20"/>
              </w:rPr>
            </w:pPr>
            <w:r>
              <w:rPr>
                <w:sz w:val="20"/>
              </w:rPr>
              <w:t>宏观经济学</w:t>
            </w:r>
          </w:p>
        </w:tc>
        <w:tc>
          <w:tcPr>
            <w:tcW w:w="1185" w:type="dxa"/>
            <w:vAlign w:val="center"/>
          </w:tcPr>
          <w:p>
            <w:pPr>
              <w:jc w:val="center"/>
              <w:rPr>
                <w:sz w:val="20"/>
                <w:szCs w:val="20"/>
              </w:rPr>
            </w:pPr>
            <w:r>
              <w:rPr>
                <w:sz w:val="20"/>
              </w:rPr>
              <w:t>030209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110.67</w:t>
            </w:r>
          </w:p>
        </w:tc>
      </w:tr>
      <w:tr>
        <w:trPr>
          <w:jc w:val="center"/>
        </w:trPr>
        <w:tc>
          <w:tcPr>
            <w:tcW w:w="1185" w:type="dxa"/>
            <w:vAlign w:val="center"/>
          </w:tcPr>
          <w:p>
            <w:pPr>
              <w:jc w:val="center"/>
              <w:rPr>
                <w:sz w:val="20"/>
                <w:szCs w:val="20"/>
              </w:rPr>
            </w:pPr>
            <w:r>
              <w:rPr>
                <w:sz w:val="20"/>
              </w:rPr>
              <w:t>应用统计学</w:t>
            </w:r>
          </w:p>
        </w:tc>
        <w:tc>
          <w:tcPr>
            <w:tcW w:w="1185" w:type="dxa"/>
            <w:vAlign w:val="center"/>
          </w:tcPr>
          <w:p>
            <w:pPr>
              <w:jc w:val="center"/>
              <w:rPr>
                <w:sz w:val="20"/>
                <w:szCs w:val="20"/>
              </w:rPr>
            </w:pPr>
            <w:r>
              <w:rPr>
                <w:sz w:val="20"/>
              </w:rPr>
              <w:t>030373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45.67</w:t>
            </w:r>
          </w:p>
        </w:tc>
      </w:tr>
      <w:tr>
        <w:trPr>
          <w:jc w:val="center"/>
        </w:trPr>
        <w:tc>
          <w:tcPr>
            <w:tcW w:w="1185" w:type="dxa"/>
            <w:vAlign w:val="center"/>
          </w:tcPr>
          <w:p>
            <w:pPr>
              <w:jc w:val="center"/>
              <w:rPr>
                <w:sz w:val="20"/>
                <w:szCs w:val="20"/>
              </w:rPr>
            </w:pPr>
            <w:r>
              <w:rPr>
                <w:sz w:val="20"/>
              </w:rPr>
              <w:t>社会调查方法</w:t>
            </w:r>
          </w:p>
        </w:tc>
        <w:tc>
          <w:tcPr>
            <w:tcW w:w="1185" w:type="dxa"/>
            <w:vAlign w:val="center"/>
          </w:tcPr>
          <w:p>
            <w:pPr>
              <w:jc w:val="center"/>
              <w:rPr>
                <w:sz w:val="20"/>
                <w:szCs w:val="20"/>
              </w:rPr>
            </w:pPr>
            <w:r>
              <w:rPr>
                <w:sz w:val="20"/>
              </w:rPr>
              <w:t>030376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40</w:t>
            </w:r>
          </w:p>
        </w:tc>
      </w:tr>
      <w:tr>
        <w:trPr>
          <w:jc w:val="center"/>
        </w:trPr>
        <w:tc>
          <w:tcPr>
            <w:tcW w:w="1185" w:type="dxa"/>
            <w:vAlign w:val="center"/>
          </w:tcPr>
          <w:p>
            <w:pPr>
              <w:jc w:val="center"/>
              <w:rPr>
                <w:sz w:val="20"/>
                <w:szCs w:val="20"/>
              </w:rPr>
            </w:pPr>
            <w:r>
              <w:rPr>
                <w:sz w:val="20"/>
              </w:rPr>
              <w:t>管理信息系统</w:t>
            </w:r>
          </w:p>
        </w:tc>
        <w:tc>
          <w:tcPr>
            <w:tcW w:w="1185" w:type="dxa"/>
            <w:vAlign w:val="center"/>
          </w:tcPr>
          <w:p>
            <w:pPr>
              <w:jc w:val="center"/>
              <w:rPr>
                <w:sz w:val="20"/>
                <w:szCs w:val="20"/>
              </w:rPr>
            </w:pPr>
            <w:r>
              <w:rPr>
                <w:sz w:val="20"/>
              </w:rPr>
              <w:t>030534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69.63</w:t>
            </w:r>
          </w:p>
        </w:tc>
      </w:tr>
      <w:tr>
        <w:trPr>
          <w:jc w:val="center"/>
        </w:trPr>
        <w:tc>
          <w:tcPr>
            <w:tcW w:w="1185" w:type="dxa"/>
            <w:vAlign w:val="center"/>
          </w:tcPr>
          <w:p>
            <w:pPr>
              <w:jc w:val="center"/>
              <w:rPr>
                <w:sz w:val="20"/>
                <w:szCs w:val="20"/>
              </w:rPr>
            </w:pPr>
            <w:r>
              <w:rPr>
                <w:sz w:val="20"/>
              </w:rPr>
              <w:t>战略管理</w:t>
            </w:r>
          </w:p>
        </w:tc>
        <w:tc>
          <w:tcPr>
            <w:tcW w:w="1185" w:type="dxa"/>
            <w:vAlign w:val="center"/>
          </w:tcPr>
          <w:p>
            <w:pPr>
              <w:jc w:val="center"/>
              <w:rPr>
                <w:sz w:val="20"/>
                <w:szCs w:val="20"/>
              </w:rPr>
            </w:pPr>
            <w:r>
              <w:rPr>
                <w:sz w:val="20"/>
              </w:rPr>
              <w:t>033903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49</w:t>
            </w:r>
          </w:p>
        </w:tc>
      </w:tr>
      <w:tr>
        <w:trPr>
          <w:jc w:val="center"/>
        </w:trPr>
        <w:tc>
          <w:tcPr>
            <w:tcW w:w="1185" w:type="dxa"/>
            <w:vAlign w:val="center"/>
          </w:tcPr>
          <w:p>
            <w:pPr>
              <w:jc w:val="center"/>
              <w:rPr>
                <w:sz w:val="20"/>
                <w:szCs w:val="20"/>
              </w:rPr>
            </w:pPr>
            <w:r>
              <w:rPr>
                <w:sz w:val="20"/>
              </w:rPr>
              <w:t>经济学原理</w:t>
            </w:r>
          </w:p>
        </w:tc>
        <w:tc>
          <w:tcPr>
            <w:tcW w:w="1185" w:type="dxa"/>
            <w:vAlign w:val="center"/>
          </w:tcPr>
          <w:p>
            <w:pPr>
              <w:jc w:val="center"/>
              <w:rPr>
                <w:sz w:val="20"/>
                <w:szCs w:val="20"/>
              </w:rPr>
            </w:pPr>
            <w:r>
              <w:rPr>
                <w:sz w:val="20"/>
              </w:rPr>
              <w:t>034015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128</w:t>
            </w:r>
          </w:p>
        </w:tc>
      </w:tr>
      <w:tr>
        <w:trPr>
          <w:jc w:val="center"/>
        </w:trPr>
        <w:tc>
          <w:tcPr>
            <w:tcW w:w="1185" w:type="dxa"/>
            <w:vAlign w:val="center"/>
          </w:tcPr>
          <w:p>
            <w:pPr>
              <w:jc w:val="center"/>
              <w:rPr>
                <w:sz w:val="20"/>
                <w:szCs w:val="20"/>
              </w:rPr>
            </w:pPr>
            <w:r>
              <w:rPr>
                <w:sz w:val="20"/>
              </w:rPr>
              <w:t>政治学</w:t>
            </w:r>
          </w:p>
        </w:tc>
        <w:tc>
          <w:tcPr>
            <w:tcW w:w="1185" w:type="dxa"/>
            <w:vAlign w:val="center"/>
          </w:tcPr>
          <w:p>
            <w:pPr>
              <w:jc w:val="center"/>
              <w:rPr>
                <w:sz w:val="20"/>
                <w:szCs w:val="20"/>
              </w:rPr>
            </w:pPr>
            <w:r>
              <w:rPr>
                <w:sz w:val="20"/>
              </w:rPr>
              <w:t>220626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77</w:t>
            </w:r>
          </w:p>
        </w:tc>
      </w:tr>
      <w:tr>
        <w:trPr>
          <w:jc w:val="center"/>
        </w:trPr>
        <w:tc>
          <w:tcPr>
            <w:tcW w:w="1185" w:type="dxa"/>
            <w:vAlign w:val="center"/>
          </w:tcPr>
          <w:p>
            <w:pPr>
              <w:jc w:val="center"/>
              <w:rPr>
                <w:sz w:val="20"/>
                <w:szCs w:val="20"/>
              </w:rPr>
            </w:pPr>
            <w:r>
              <w:rPr>
                <w:sz w:val="20"/>
              </w:rPr>
              <w:t>社会保障基金管理</w:t>
            </w:r>
          </w:p>
        </w:tc>
        <w:tc>
          <w:tcPr>
            <w:tcW w:w="1185" w:type="dxa"/>
            <w:vAlign w:val="center"/>
          </w:tcPr>
          <w:p>
            <w:pPr>
              <w:jc w:val="center"/>
              <w:rPr>
                <w:sz w:val="20"/>
                <w:szCs w:val="20"/>
              </w:rPr>
            </w:pPr>
            <w:r>
              <w:rPr>
                <w:sz w:val="20"/>
              </w:rPr>
              <w:t>220636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52</w:t>
            </w:r>
          </w:p>
        </w:tc>
      </w:tr>
      <w:tr>
        <w:trPr>
          <w:jc w:val="center"/>
        </w:trPr>
        <w:tc>
          <w:tcPr>
            <w:tcW w:w="1185" w:type="dxa"/>
            <w:vAlign w:val="center"/>
          </w:tcPr>
          <w:p>
            <w:pPr>
              <w:jc w:val="center"/>
              <w:rPr>
                <w:sz w:val="20"/>
                <w:szCs w:val="20"/>
              </w:rPr>
            </w:pPr>
            <w:r>
              <w:rPr>
                <w:sz w:val="20"/>
              </w:rPr>
              <w:t>社会保障国际比较（全英语）</w:t>
            </w:r>
          </w:p>
        </w:tc>
        <w:tc>
          <w:tcPr>
            <w:tcW w:w="1185" w:type="dxa"/>
            <w:vAlign w:val="center"/>
          </w:tcPr>
          <w:p>
            <w:pPr>
              <w:jc w:val="center"/>
              <w:rPr>
                <w:sz w:val="20"/>
                <w:szCs w:val="20"/>
              </w:rPr>
            </w:pPr>
            <w:r>
              <w:rPr>
                <w:sz w:val="20"/>
              </w:rPr>
              <w:t>220638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49</w:t>
            </w:r>
          </w:p>
        </w:tc>
      </w:tr>
      <w:tr>
        <w:trPr>
          <w:jc w:val="center"/>
        </w:trPr>
        <w:tc>
          <w:tcPr>
            <w:tcW w:w="1185" w:type="dxa"/>
            <w:vAlign w:val="center"/>
          </w:tcPr>
          <w:p>
            <w:pPr>
              <w:jc w:val="center"/>
              <w:rPr>
                <w:sz w:val="20"/>
                <w:szCs w:val="20"/>
              </w:rPr>
            </w:pPr>
            <w:r>
              <w:rPr>
                <w:sz w:val="20"/>
              </w:rPr>
              <w:t>劳动法与社会保障法</w:t>
            </w:r>
          </w:p>
        </w:tc>
        <w:tc>
          <w:tcPr>
            <w:tcW w:w="1185" w:type="dxa"/>
            <w:vAlign w:val="center"/>
          </w:tcPr>
          <w:p>
            <w:pPr>
              <w:jc w:val="center"/>
              <w:rPr>
                <w:sz w:val="20"/>
                <w:szCs w:val="20"/>
              </w:rPr>
            </w:pPr>
            <w:r>
              <w:rPr>
                <w:sz w:val="20"/>
              </w:rPr>
              <w:t>220666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45</w:t>
            </w:r>
          </w:p>
        </w:tc>
      </w:tr>
      <w:tr>
        <w:trPr>
          <w:jc w:val="center"/>
        </w:trPr>
        <w:tc>
          <w:tcPr>
            <w:tcW w:w="1185" w:type="dxa"/>
            <w:vAlign w:val="center"/>
          </w:tcPr>
          <w:p>
            <w:pPr>
              <w:jc w:val="center"/>
              <w:rPr>
                <w:sz w:val="20"/>
                <w:szCs w:val="20"/>
              </w:rPr>
            </w:pPr>
            <w:r>
              <w:rPr>
                <w:sz w:val="20"/>
              </w:rPr>
              <w:t>公共政策</w:t>
            </w:r>
          </w:p>
        </w:tc>
        <w:tc>
          <w:tcPr>
            <w:tcW w:w="1185" w:type="dxa"/>
            <w:vAlign w:val="center"/>
          </w:tcPr>
          <w:p>
            <w:pPr>
              <w:jc w:val="center"/>
              <w:rPr>
                <w:sz w:val="20"/>
                <w:szCs w:val="20"/>
              </w:rPr>
            </w:pPr>
            <w:r>
              <w:rPr>
                <w:sz w:val="20"/>
              </w:rPr>
              <w:t>220668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90.5</w:t>
            </w:r>
          </w:p>
        </w:tc>
      </w:tr>
      <w:tr>
        <w:trPr>
          <w:jc w:val="center"/>
        </w:trPr>
        <w:tc>
          <w:tcPr>
            <w:tcW w:w="1185" w:type="dxa"/>
            <w:vAlign w:val="center"/>
          </w:tcPr>
          <w:p>
            <w:pPr>
              <w:jc w:val="center"/>
              <w:rPr>
                <w:sz w:val="20"/>
                <w:szCs w:val="20"/>
              </w:rPr>
            </w:pPr>
            <w:r>
              <w:rPr>
                <w:sz w:val="20"/>
              </w:rPr>
              <w:t>公共管理定量分析技术</w:t>
            </w:r>
          </w:p>
        </w:tc>
        <w:tc>
          <w:tcPr>
            <w:tcW w:w="1185" w:type="dxa"/>
            <w:vAlign w:val="center"/>
          </w:tcPr>
          <w:p>
            <w:pPr>
              <w:jc w:val="center"/>
              <w:rPr>
                <w:sz w:val="20"/>
                <w:szCs w:val="20"/>
              </w:rPr>
            </w:pPr>
            <w:r>
              <w:rPr>
                <w:sz w:val="20"/>
              </w:rPr>
              <w:t>220669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48.67</w:t>
            </w:r>
          </w:p>
        </w:tc>
      </w:tr>
      <w:tr>
        <w:trPr>
          <w:jc w:val="center"/>
        </w:trPr>
        <w:tc>
          <w:tcPr>
            <w:tcW w:w="1185" w:type="dxa"/>
            <w:vAlign w:val="center"/>
          </w:tcPr>
          <w:p>
            <w:pPr>
              <w:jc w:val="center"/>
              <w:rPr>
                <w:sz w:val="20"/>
                <w:szCs w:val="20"/>
              </w:rPr>
            </w:pPr>
            <w:r>
              <w:rPr>
                <w:sz w:val="20"/>
              </w:rPr>
              <w:t>社会保障概论</w:t>
            </w:r>
          </w:p>
        </w:tc>
        <w:tc>
          <w:tcPr>
            <w:tcW w:w="1185" w:type="dxa"/>
            <w:vAlign w:val="center"/>
          </w:tcPr>
          <w:p>
            <w:pPr>
              <w:jc w:val="center"/>
              <w:rPr>
                <w:sz w:val="20"/>
                <w:szCs w:val="20"/>
              </w:rPr>
            </w:pPr>
            <w:r>
              <w:rPr>
                <w:sz w:val="20"/>
              </w:rPr>
              <w:t>220670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90.5</w:t>
            </w:r>
          </w:p>
        </w:tc>
      </w:tr>
      <w:tr>
        <w:trPr>
          <w:jc w:val="center"/>
        </w:trPr>
        <w:tc>
          <w:tcPr>
            <w:tcW w:w="1185" w:type="dxa"/>
            <w:vAlign w:val="center"/>
          </w:tcPr>
          <w:p>
            <w:pPr>
              <w:jc w:val="center"/>
              <w:rPr>
                <w:sz w:val="20"/>
                <w:szCs w:val="20"/>
              </w:rPr>
            </w:pPr>
            <w:r>
              <w:rPr>
                <w:sz w:val="20"/>
              </w:rPr>
              <w:t>公共管理学</w:t>
            </w:r>
          </w:p>
        </w:tc>
        <w:tc>
          <w:tcPr>
            <w:tcW w:w="1185" w:type="dxa"/>
            <w:vAlign w:val="center"/>
          </w:tcPr>
          <w:p>
            <w:pPr>
              <w:jc w:val="center"/>
              <w:rPr>
                <w:sz w:val="20"/>
                <w:szCs w:val="20"/>
              </w:rPr>
            </w:pPr>
            <w:r>
              <w:rPr>
                <w:sz w:val="20"/>
              </w:rPr>
              <w:t>220672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61</w:t>
            </w:r>
          </w:p>
        </w:tc>
      </w:tr>
      <w:tr>
        <w:trPr>
          <w:jc w:val="center"/>
        </w:trPr>
        <w:tc>
          <w:tcPr>
            <w:tcW w:w="1185" w:type="dxa"/>
            <w:vAlign w:val="center"/>
          </w:tcPr>
          <w:p>
            <w:pPr>
              <w:jc w:val="center"/>
              <w:rPr>
                <w:sz w:val="20"/>
                <w:szCs w:val="20"/>
              </w:rPr>
            </w:pPr>
            <w:r>
              <w:rPr>
                <w:sz w:val="20"/>
              </w:rPr>
              <w:t>社会学（全英语）</w:t>
            </w:r>
          </w:p>
        </w:tc>
        <w:tc>
          <w:tcPr>
            <w:tcW w:w="1185" w:type="dxa"/>
            <w:vAlign w:val="center"/>
          </w:tcPr>
          <w:p>
            <w:pPr>
              <w:jc w:val="center"/>
              <w:rPr>
                <w:sz w:val="20"/>
                <w:szCs w:val="20"/>
              </w:rPr>
            </w:pPr>
            <w:r>
              <w:rPr>
                <w:sz w:val="20"/>
              </w:rPr>
              <w:t>220675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73.5</w:t>
            </w:r>
          </w:p>
        </w:tc>
      </w:tr>
      <w:tr>
        <w:trPr>
          <w:jc w:val="center"/>
        </w:trPr>
        <w:tc>
          <w:tcPr>
            <w:tcW w:w="1185" w:type="dxa"/>
            <w:vAlign w:val="center"/>
          </w:tcPr>
          <w:p>
            <w:pPr>
              <w:jc w:val="center"/>
              <w:rPr>
                <w:sz w:val="20"/>
                <w:szCs w:val="20"/>
              </w:rPr>
            </w:pPr>
            <w:r>
              <w:rPr>
                <w:sz w:val="20"/>
              </w:rPr>
              <w:t>劳动与社会保障专业英语</w:t>
            </w:r>
          </w:p>
        </w:tc>
        <w:tc>
          <w:tcPr>
            <w:tcW w:w="1185" w:type="dxa"/>
            <w:vAlign w:val="center"/>
          </w:tcPr>
          <w:p>
            <w:pPr>
              <w:jc w:val="center"/>
              <w:rPr>
                <w:sz w:val="20"/>
                <w:szCs w:val="20"/>
              </w:rPr>
            </w:pPr>
            <w:r>
              <w:rPr>
                <w:sz w:val="20"/>
              </w:rPr>
              <w:t>220679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50</w:t>
            </w:r>
          </w:p>
        </w:tc>
      </w:tr>
      <w:tr>
        <w:trPr>
          <w:jc w:val="center"/>
        </w:trPr>
        <w:tc>
          <w:tcPr>
            <w:tcW w:w="1185" w:type="dxa"/>
            <w:vAlign w:val="center"/>
          </w:tcPr>
          <w:p>
            <w:pPr>
              <w:jc w:val="center"/>
              <w:rPr>
                <w:sz w:val="20"/>
                <w:szCs w:val="20"/>
              </w:rPr>
            </w:pPr>
            <w:r>
              <w:rPr>
                <w:sz w:val="20"/>
              </w:rPr>
              <w:t>计量经济学</w:t>
            </w:r>
          </w:p>
        </w:tc>
        <w:tc>
          <w:tcPr>
            <w:tcW w:w="1185" w:type="dxa"/>
            <w:vAlign w:val="center"/>
          </w:tcPr>
          <w:p>
            <w:pPr>
              <w:jc w:val="center"/>
              <w:rPr>
                <w:sz w:val="20"/>
                <w:szCs w:val="20"/>
              </w:rPr>
            </w:pPr>
            <w:r>
              <w:rPr>
                <w:sz w:val="20"/>
              </w:rPr>
              <w:t>220680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53</w:t>
            </w:r>
          </w:p>
        </w:tc>
      </w:tr>
      <w:tr>
        <w:trPr>
          <w:jc w:val="center"/>
        </w:trPr>
        <w:tc>
          <w:tcPr>
            <w:tcW w:w="1185" w:type="dxa"/>
            <w:vAlign w:val="center"/>
          </w:tcPr>
          <w:p>
            <w:pPr>
              <w:jc w:val="center"/>
              <w:rPr>
                <w:sz w:val="20"/>
                <w:szCs w:val="20"/>
              </w:rPr>
            </w:pPr>
            <w:r>
              <w:rPr>
                <w:sz w:val="20"/>
              </w:rPr>
              <w:t>社会保障基金精算</w:t>
            </w:r>
          </w:p>
        </w:tc>
        <w:tc>
          <w:tcPr>
            <w:tcW w:w="1185" w:type="dxa"/>
            <w:vAlign w:val="center"/>
          </w:tcPr>
          <w:p>
            <w:pPr>
              <w:jc w:val="center"/>
              <w:rPr>
                <w:sz w:val="20"/>
                <w:szCs w:val="20"/>
              </w:rPr>
            </w:pPr>
            <w:r>
              <w:rPr>
                <w:sz w:val="20"/>
              </w:rPr>
              <w:t>220684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47</w:t>
            </w:r>
          </w:p>
        </w:tc>
      </w:tr>
      <w:tr>
        <w:trPr>
          <w:jc w:val="center"/>
        </w:trPr>
        <w:tc>
          <w:tcPr>
            <w:tcW w:w="1185" w:type="dxa"/>
            <w:vAlign w:val="center"/>
          </w:tcPr>
          <w:p>
            <w:pPr>
              <w:jc w:val="center"/>
              <w:rPr>
                <w:sz w:val="20"/>
                <w:szCs w:val="20"/>
              </w:rPr>
            </w:pPr>
            <w:r>
              <w:rPr>
                <w:sz w:val="20"/>
              </w:rPr>
              <w:t>公共经济学</w:t>
            </w:r>
          </w:p>
        </w:tc>
        <w:tc>
          <w:tcPr>
            <w:tcW w:w="1185" w:type="dxa"/>
            <w:vAlign w:val="center"/>
          </w:tcPr>
          <w:p>
            <w:pPr>
              <w:jc w:val="center"/>
              <w:rPr>
                <w:sz w:val="20"/>
                <w:szCs w:val="20"/>
              </w:rPr>
            </w:pPr>
            <w:r>
              <w:rPr>
                <w:sz w:val="20"/>
              </w:rPr>
              <w:t>226003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99</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1" w:name="_Toc160195574"/>
      <w:r>
        <w:rPr>
          <w:rFonts w:ascii="宋体" w:hAnsi="宋体" w:eastAsia="宋体"/>
          <w:b w:val="0"/>
          <w:bCs w:val="0"/>
          <w:sz w:val="24"/>
          <w:szCs w:val="24"/>
        </w:rPr>
        <w:t>3.6实验教学情况</w:t>
      </w:r>
      <w:bookmarkEnd w:id="3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6.62</w:t>
            </w:r>
            <w:bookmarkStart w:id="32" w:name="OLE_LINK18"/>
            <w:bookmarkEnd w:id="32"/>
          </w:p>
        </w:tc>
      </w:tr>
      <w:tr>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4.27</w:t>
            </w:r>
          </w:p>
        </w:tc>
      </w:tr>
      <w:tr>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w:t>
            </w:r>
          </w:p>
        </w:tc>
      </w:tr>
      <w:tr>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w:t>
            </w:r>
          </w:p>
        </w:tc>
      </w:tr>
      <w:tr>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
      <w:pPr>
        <w:pStyle w:val="4"/>
        <w:rPr>
          <w:rFonts w:ascii="宋体" w:hAnsi="宋体" w:eastAsia="宋体"/>
          <w:b w:val="0"/>
          <w:bCs w:val="0"/>
          <w:sz w:val="24"/>
          <w:szCs w:val="24"/>
        </w:rPr>
      </w:pPr>
      <w:bookmarkStart w:id="33" w:name="_Toc160195575"/>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shd w:val="clear" w:color="auto" w:fill="FFFFFF"/>
        <w:adjustRightInd w:val="0"/>
        <w:snapToGrid w:val="0"/>
        <w:spacing w:line="360" w:lineRule="auto"/>
        <w:ind w:firstLine="480" w:firstLineChars="200"/>
        <w:rPr>
          <w:color w:val="333333"/>
        </w:rPr>
      </w:pPr>
      <w:r>
        <w:rPr>
          <w:rFonts w:hint="eastAsia"/>
          <w:color w:val="333333"/>
        </w:rPr>
        <w:t>根据培养计划要求，本专业学生共有</w:t>
      </w:r>
      <w:r>
        <w:rPr>
          <w:color w:val="333333"/>
        </w:rPr>
        <w:t>5次独立开设的专业实习安排，不同的专业实习环节目标侧重点不同，设计具有针对性，内容丰富，在实践中培养了学生创新意识，提升了学生的专业技能与实践能力。此外，本学年本专业学生全部参加了上海工程技术大学产学合作教育，暑期到与专业关联度比较高的政府基层部门、企事业单位、社会组织等进行为期6周的产学合作即顶岗工作实习。</w:t>
      </w:r>
    </w:p>
    <w:p>
      <w:pPr>
        <w:pStyle w:val="4"/>
        <w:rPr>
          <w:rFonts w:ascii="宋体" w:hAnsi="宋体" w:eastAsia="宋体"/>
          <w:b w:val="0"/>
          <w:bCs w:val="0"/>
          <w:sz w:val="24"/>
          <w:szCs w:val="24"/>
        </w:rPr>
      </w:pPr>
      <w:bookmarkStart w:id="34" w:name="_Toc160195576"/>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shd w:val="clear" w:color="auto" w:fill="FFFFFF"/>
        <w:spacing w:line="360" w:lineRule="auto"/>
        <w:ind w:firstLine="480" w:firstLineChars="200"/>
        <w:rPr>
          <w:color w:val="333333"/>
        </w:rPr>
      </w:pPr>
      <w:r>
        <w:rPr>
          <w:rFonts w:hint="eastAsia"/>
          <w:color w:val="333333"/>
        </w:rPr>
        <w:t>专业历来重视通过创新创业项目来培养学生的创新精神和解决社会实践问题的能力，从2</w:t>
      </w:r>
      <w:r>
        <w:rPr>
          <w:color w:val="333333"/>
        </w:rPr>
        <w:t>019</w:t>
      </w:r>
      <w:r>
        <w:rPr>
          <w:rFonts w:hint="eastAsia"/>
          <w:color w:val="333333"/>
        </w:rPr>
        <w:t>年起至今，专业始终要求对于每一学年的创新创业项目，都要实现全员申报，即每一位导师都要至少申报一项，每一位同学都要至少主持或者参与申报一项。</w:t>
      </w:r>
    </w:p>
    <w:p>
      <w:pPr>
        <w:shd w:val="clear" w:color="auto" w:fill="FFFFFF"/>
        <w:spacing w:line="360" w:lineRule="auto"/>
        <w:ind w:firstLine="480" w:firstLineChars="200"/>
        <w:rPr>
          <w:color w:val="333333"/>
        </w:rPr>
      </w:pPr>
      <w:r>
        <w:rPr>
          <w:rFonts w:hint="eastAsia"/>
          <w:color w:val="333333"/>
        </w:rPr>
        <w:t>本学年创新创业项目及创新创业课程开设情况如下：</w:t>
      </w:r>
    </w:p>
    <w:p>
      <w:pPr>
        <w:jc w:val="center"/>
        <w:rPr>
          <w:b/>
          <w:bCs/>
          <w:sz w:val="22"/>
          <w:szCs w:val="22"/>
        </w:rPr>
      </w:pPr>
      <w:r>
        <w:rPr>
          <w:rFonts w:hint="eastAsia" w:ascii="黑体" w:hAnsi="黑体" w:eastAsia="黑体" w:cs="黑体"/>
          <w:b/>
          <w:bCs/>
          <w:color w:val="333333"/>
        </w:rPr>
        <w:t xml:space="preserve"> </w:t>
      </w:r>
      <w:r>
        <w:rPr>
          <w:rFonts w:hint="eastAsia"/>
          <w:b/>
          <w:bCs/>
          <w:sz w:val="22"/>
          <w:szCs w:val="22"/>
        </w:rPr>
        <w:t>创新创业项目</w:t>
      </w:r>
    </w:p>
    <w:tbl>
      <w:tblPr>
        <w:tblStyle w:val="16"/>
        <w:tblW w:w="5109" w:type="pct"/>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920"/>
        <w:gridCol w:w="1637"/>
        <w:gridCol w:w="1995"/>
        <w:gridCol w:w="1700"/>
        <w:gridCol w:w="2266"/>
      </w:tblGrid>
      <w:tr>
        <w:trPr>
          <w:trHeight w:val="1043" w:hRule="atLeast"/>
          <w:tblHeader/>
        </w:trPr>
        <w:tc>
          <w:tcPr>
            <w:tcW w:w="540" w:type="pct"/>
            <w:tcBorders>
              <w:top w:val="single" w:color="4F81BD" w:sz="8" w:space="0"/>
              <w:left w:val="single" w:color="4F81BD" w:sz="8"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项目级别</w:t>
            </w:r>
          </w:p>
        </w:tc>
        <w:tc>
          <w:tcPr>
            <w:tcW w:w="961"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项目编号</w:t>
            </w:r>
          </w:p>
        </w:tc>
        <w:tc>
          <w:tcPr>
            <w:tcW w:w="1171"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项目名称</w:t>
            </w:r>
          </w:p>
        </w:tc>
        <w:tc>
          <w:tcPr>
            <w:tcW w:w="998"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项目负责学生</w:t>
            </w:r>
          </w:p>
        </w:tc>
        <w:tc>
          <w:tcPr>
            <w:tcW w:w="1330" w:type="pct"/>
            <w:tcBorders>
              <w:top w:val="single" w:color="4F81BD" w:sz="8" w:space="0"/>
              <w:left w:val="dotted" w:color="auto" w:sz="6" w:space="0"/>
              <w:bottom w:val="single" w:color="4F81BD" w:sz="8" w:space="0"/>
              <w:right w:val="single" w:color="4F81BD" w:sz="8" w:space="0"/>
            </w:tcBorders>
            <w:shd w:val="clear" w:color="auto" w:fill="FFFFFF" w:themeFill="background1"/>
            <w:vAlign w:val="center"/>
          </w:tcPr>
          <w:p>
            <w:pPr>
              <w:jc w:val="center"/>
              <w:rPr>
                <w:sz w:val="22"/>
                <w:szCs w:val="22"/>
              </w:rPr>
            </w:pPr>
            <w:r>
              <w:rPr>
                <w:rFonts w:hint="eastAsia"/>
                <w:sz w:val="22"/>
                <w:szCs w:val="22"/>
              </w:rPr>
              <w:t>项目指导教师</w:t>
            </w:r>
          </w:p>
        </w:tc>
      </w:tr>
      <w:tr>
        <w:trPr>
          <w:trHeight w:val="726" w:hRule="atLeast"/>
        </w:trPr>
        <w:tc>
          <w:tcPr>
            <w:tcW w:w="540"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市级</w:t>
            </w:r>
          </w:p>
        </w:tc>
        <w:tc>
          <w:tcPr>
            <w:tcW w:w="96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color w:val="000000"/>
                <w:sz w:val="20"/>
                <w:szCs w:val="20"/>
              </w:rPr>
              <w:t xml:space="preserve">202310856011 </w:t>
            </w:r>
          </w:p>
        </w:tc>
        <w:tc>
          <w:tcPr>
            <w:tcW w:w="117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sz w:val="20"/>
                <w:szCs w:val="20"/>
              </w:rPr>
              <w:t>大学生健康生活方式及影响因素</w:t>
            </w:r>
          </w:p>
        </w:tc>
        <w:tc>
          <w:tcPr>
            <w:tcW w:w="998"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sz w:val="20"/>
                <w:szCs w:val="20"/>
              </w:rPr>
              <w:t>李公羽</w:t>
            </w:r>
          </w:p>
        </w:tc>
        <w:tc>
          <w:tcPr>
            <w:tcW w:w="1330" w:type="pct"/>
            <w:tcBorders>
              <w:top w:val="single" w:color="4F81BD" w:sz="8" w:space="0"/>
              <w:left w:val="dotted" w:color="auto" w:sz="6" w:space="0"/>
              <w:bottom w:val="single" w:color="4F81BD" w:sz="8" w:space="0"/>
              <w:right w:val="single" w:color="4F81BD" w:sz="8" w:space="0"/>
            </w:tcBorders>
            <w:shd w:val="clear" w:color="auto" w:fill="FFFFFF"/>
            <w:vAlign w:val="center"/>
          </w:tcPr>
          <w:p>
            <w:pPr>
              <w:jc w:val="center"/>
              <w:rPr>
                <w:sz w:val="22"/>
                <w:szCs w:val="22"/>
              </w:rPr>
            </w:pPr>
            <w:r>
              <w:rPr>
                <w:rFonts w:hint="eastAsia"/>
                <w:sz w:val="22"/>
                <w:szCs w:val="22"/>
              </w:rPr>
              <w:t>张强</w:t>
            </w:r>
          </w:p>
        </w:tc>
      </w:tr>
      <w:tr>
        <w:trPr>
          <w:trHeight w:val="726" w:hRule="atLeast"/>
        </w:trPr>
        <w:tc>
          <w:tcPr>
            <w:tcW w:w="540"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市级</w:t>
            </w:r>
          </w:p>
        </w:tc>
        <w:tc>
          <w:tcPr>
            <w:tcW w:w="96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color w:val="000000"/>
                <w:sz w:val="20"/>
                <w:szCs w:val="20"/>
              </w:rPr>
              <w:t xml:space="preserve">202310856016 </w:t>
            </w:r>
          </w:p>
        </w:tc>
        <w:tc>
          <w:tcPr>
            <w:tcW w:w="117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color w:val="000000"/>
                <w:sz w:val="20"/>
                <w:szCs w:val="20"/>
              </w:rPr>
              <w:t>上海市家庭教育方式冲突与促进儿童心理健康研究</w:t>
            </w:r>
          </w:p>
        </w:tc>
        <w:tc>
          <w:tcPr>
            <w:tcW w:w="998"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color w:val="000000"/>
                <w:sz w:val="20"/>
                <w:szCs w:val="20"/>
              </w:rPr>
              <w:t>彭梦瑶</w:t>
            </w:r>
          </w:p>
        </w:tc>
        <w:tc>
          <w:tcPr>
            <w:tcW w:w="1330" w:type="pct"/>
            <w:tcBorders>
              <w:top w:val="single" w:color="4F81BD" w:sz="8" w:space="0"/>
              <w:left w:val="dotted" w:color="auto" w:sz="6" w:space="0"/>
              <w:bottom w:val="single" w:color="4F81BD" w:sz="8" w:space="0"/>
              <w:right w:val="single" w:color="4F81BD" w:sz="8" w:space="0"/>
            </w:tcBorders>
            <w:shd w:val="clear" w:color="auto" w:fill="FFFFFF"/>
            <w:vAlign w:val="center"/>
          </w:tcPr>
          <w:p>
            <w:pPr>
              <w:jc w:val="center"/>
              <w:rPr>
                <w:sz w:val="22"/>
                <w:szCs w:val="22"/>
              </w:rPr>
            </w:pPr>
            <w:r>
              <w:rPr>
                <w:rFonts w:hint="eastAsia"/>
                <w:sz w:val="22"/>
                <w:szCs w:val="22"/>
              </w:rPr>
              <w:t>沈世勇</w:t>
            </w:r>
          </w:p>
        </w:tc>
      </w:tr>
      <w:tr>
        <w:trPr>
          <w:trHeight w:val="726" w:hRule="atLeast"/>
        </w:trPr>
        <w:tc>
          <w:tcPr>
            <w:tcW w:w="540"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rPr>
                <w:rFonts w:hint="eastAsia"/>
                <w:color w:val="000000"/>
                <w:sz w:val="20"/>
                <w:szCs w:val="20"/>
              </w:rPr>
            </w:pPr>
            <w:r>
              <w:rPr>
                <w:rFonts w:hint="eastAsia"/>
                <w:color w:val="000000"/>
                <w:sz w:val="20"/>
                <w:szCs w:val="20"/>
              </w:rPr>
              <w:t>校级</w:t>
            </w:r>
          </w:p>
        </w:tc>
        <w:tc>
          <w:tcPr>
            <w:tcW w:w="961" w:type="pct"/>
            <w:tcBorders>
              <w:top w:val="single" w:color="4F81BD" w:sz="8" w:space="0"/>
              <w:left w:val="dotted" w:color="auto" w:sz="6" w:space="0"/>
              <w:bottom w:val="single" w:color="4F81BD" w:sz="8" w:space="0"/>
              <w:right w:val="dotted" w:color="auto" w:sz="6" w:space="0"/>
            </w:tcBorders>
            <w:shd w:val="clear" w:color="auto" w:fill="FFFFFF"/>
          </w:tcPr>
          <w:p>
            <w:pPr>
              <w:jc w:val="center"/>
              <w:rPr>
                <w:color w:val="000000"/>
                <w:sz w:val="20"/>
                <w:szCs w:val="20"/>
              </w:rPr>
            </w:pPr>
          </w:p>
          <w:p>
            <w:pPr>
              <w:jc w:val="center"/>
              <w:rPr>
                <w:rFonts w:hint="eastAsia"/>
                <w:color w:val="000000"/>
                <w:sz w:val="20"/>
                <w:szCs w:val="20"/>
              </w:rPr>
            </w:pPr>
            <w:r>
              <w:rPr>
                <w:color w:val="000000"/>
                <w:sz w:val="20"/>
                <w:szCs w:val="20"/>
              </w:rPr>
              <w:t>cs2303020</w:t>
            </w:r>
          </w:p>
        </w:tc>
        <w:tc>
          <w:tcPr>
            <w:tcW w:w="1171" w:type="pct"/>
            <w:tcBorders>
              <w:top w:val="single" w:color="4F81BD" w:sz="8" w:space="0"/>
              <w:left w:val="dotted" w:color="auto" w:sz="6" w:space="0"/>
              <w:bottom w:val="single" w:color="4F81BD" w:sz="8" w:space="0"/>
              <w:right w:val="dotted" w:color="auto" w:sz="6" w:space="0"/>
            </w:tcBorders>
            <w:shd w:val="clear" w:color="auto" w:fill="FFFFFF"/>
          </w:tcPr>
          <w:p>
            <w:pPr>
              <w:jc w:val="center"/>
              <w:rPr>
                <w:rFonts w:hint="eastAsia"/>
                <w:color w:val="000000"/>
                <w:sz w:val="20"/>
                <w:szCs w:val="20"/>
              </w:rPr>
            </w:pPr>
            <w:r>
              <w:rPr>
                <w:color w:val="000000"/>
                <w:sz w:val="20"/>
                <w:szCs w:val="20"/>
              </w:rPr>
              <w:t>上海市社区“体医养”结合的老年健康服务体系研究</w:t>
            </w:r>
          </w:p>
        </w:tc>
        <w:tc>
          <w:tcPr>
            <w:tcW w:w="998" w:type="pct"/>
            <w:tcBorders>
              <w:top w:val="single" w:color="4F81BD" w:sz="8" w:space="0"/>
              <w:left w:val="dotted" w:color="auto" w:sz="6" w:space="0"/>
              <w:bottom w:val="single" w:color="4F81BD" w:sz="8" w:space="0"/>
              <w:right w:val="dotted" w:color="auto" w:sz="6" w:space="0"/>
            </w:tcBorders>
            <w:shd w:val="clear" w:color="auto" w:fill="FFFFFF"/>
          </w:tcPr>
          <w:p>
            <w:pPr>
              <w:jc w:val="center"/>
              <w:rPr>
                <w:color w:val="000000"/>
                <w:sz w:val="20"/>
                <w:szCs w:val="20"/>
              </w:rPr>
            </w:pPr>
          </w:p>
          <w:p>
            <w:pPr>
              <w:jc w:val="center"/>
              <w:rPr>
                <w:rFonts w:hint="eastAsia"/>
                <w:color w:val="000000"/>
                <w:sz w:val="20"/>
                <w:szCs w:val="20"/>
              </w:rPr>
            </w:pPr>
            <w:r>
              <w:rPr>
                <w:color w:val="000000"/>
                <w:sz w:val="20"/>
                <w:szCs w:val="20"/>
              </w:rPr>
              <w:t>郝宇婷</w:t>
            </w:r>
          </w:p>
        </w:tc>
        <w:tc>
          <w:tcPr>
            <w:tcW w:w="1330" w:type="pct"/>
            <w:tcBorders>
              <w:top w:val="single" w:color="4F81BD" w:sz="8" w:space="0"/>
              <w:left w:val="dotted" w:color="auto" w:sz="6" w:space="0"/>
              <w:bottom w:val="single" w:color="4F81BD" w:sz="8" w:space="0"/>
              <w:right w:val="single" w:color="4F81BD" w:sz="8" w:space="0"/>
            </w:tcBorders>
            <w:shd w:val="clear" w:color="auto" w:fill="FFFFFF"/>
            <w:vAlign w:val="center"/>
          </w:tcPr>
          <w:p>
            <w:pPr>
              <w:jc w:val="center"/>
              <w:rPr>
                <w:rFonts w:hint="eastAsia"/>
                <w:color w:val="000000"/>
                <w:sz w:val="20"/>
                <w:szCs w:val="20"/>
              </w:rPr>
            </w:pPr>
            <w:r>
              <w:rPr>
                <w:rFonts w:hint="eastAsia"/>
                <w:color w:val="000000"/>
                <w:sz w:val="20"/>
                <w:szCs w:val="20"/>
              </w:rPr>
              <w:t>周淑芬</w:t>
            </w:r>
          </w:p>
        </w:tc>
      </w:tr>
      <w:tr>
        <w:trPr>
          <w:trHeight w:val="726" w:hRule="atLeast"/>
        </w:trPr>
        <w:tc>
          <w:tcPr>
            <w:tcW w:w="540"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rPr>
                <w:rFonts w:hint="eastAsia"/>
                <w:color w:val="000000"/>
                <w:sz w:val="20"/>
                <w:szCs w:val="20"/>
              </w:rPr>
            </w:pPr>
            <w:r>
              <w:rPr>
                <w:rFonts w:hint="eastAsia"/>
                <w:color w:val="000000"/>
                <w:sz w:val="20"/>
                <w:szCs w:val="20"/>
              </w:rPr>
              <w:t>校级</w:t>
            </w:r>
          </w:p>
        </w:tc>
        <w:tc>
          <w:tcPr>
            <w:tcW w:w="96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color w:val="000000"/>
                <w:sz w:val="20"/>
                <w:szCs w:val="20"/>
              </w:rPr>
            </w:pPr>
            <w:r>
              <w:rPr>
                <w:rFonts w:hint="eastAsia"/>
                <w:sz w:val="20"/>
                <w:szCs w:val="20"/>
              </w:rPr>
              <w:t>cs2303006</w:t>
            </w:r>
          </w:p>
        </w:tc>
        <w:tc>
          <w:tcPr>
            <w:tcW w:w="1171"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color w:val="000000"/>
                <w:sz w:val="20"/>
                <w:szCs w:val="20"/>
              </w:rPr>
            </w:pPr>
            <w:r>
              <w:rPr>
                <w:rFonts w:hint="eastAsia"/>
                <w:sz w:val="20"/>
                <w:szCs w:val="20"/>
              </w:rPr>
              <w:t>后疫情时代下的基层医疗卫生服务优化路径研究</w:t>
            </w:r>
          </w:p>
        </w:tc>
        <w:tc>
          <w:tcPr>
            <w:tcW w:w="998"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color w:val="000000"/>
                <w:sz w:val="20"/>
                <w:szCs w:val="20"/>
              </w:rPr>
            </w:pPr>
            <w:r>
              <w:rPr>
                <w:rFonts w:hint="eastAsia"/>
                <w:color w:val="000000"/>
                <w:sz w:val="20"/>
                <w:szCs w:val="20"/>
              </w:rPr>
              <w:t>张佳聪</w:t>
            </w:r>
          </w:p>
        </w:tc>
        <w:tc>
          <w:tcPr>
            <w:tcW w:w="1330" w:type="pct"/>
            <w:tcBorders>
              <w:top w:val="single" w:color="4F81BD" w:sz="8" w:space="0"/>
              <w:left w:val="dotted" w:color="auto" w:sz="6" w:space="0"/>
              <w:bottom w:val="single" w:color="4F81BD" w:sz="8" w:space="0"/>
              <w:right w:val="single" w:color="4F81BD" w:sz="8" w:space="0"/>
            </w:tcBorders>
            <w:shd w:val="clear" w:color="auto" w:fill="FFFFFF"/>
            <w:vAlign w:val="center"/>
          </w:tcPr>
          <w:p>
            <w:pPr>
              <w:jc w:val="center"/>
              <w:rPr>
                <w:rFonts w:hint="eastAsia"/>
                <w:color w:val="000000"/>
                <w:sz w:val="20"/>
                <w:szCs w:val="20"/>
              </w:rPr>
            </w:pPr>
            <w:r>
              <w:rPr>
                <w:rFonts w:hint="eastAsia"/>
                <w:color w:val="000000"/>
                <w:sz w:val="20"/>
                <w:szCs w:val="20"/>
              </w:rPr>
              <w:t>郭丽娜</w:t>
            </w:r>
          </w:p>
        </w:tc>
      </w:tr>
    </w:tbl>
    <w:p>
      <w:pPr>
        <w:shd w:val="clear" w:color="auto" w:fill="FFFFFF"/>
        <w:spacing w:line="400" w:lineRule="exact"/>
        <w:rPr>
          <w:rFonts w:hint="eastAsia"/>
          <w:b/>
          <w:bCs/>
          <w:color w:val="333333"/>
        </w:rPr>
      </w:pPr>
    </w:p>
    <w:p>
      <w:pPr>
        <w:jc w:val="center"/>
        <w:rPr>
          <w:b/>
          <w:bCs/>
          <w:sz w:val="22"/>
          <w:szCs w:val="22"/>
        </w:rPr>
      </w:pPr>
      <w:r>
        <w:rPr>
          <w:rFonts w:hint="eastAsia"/>
          <w:b/>
          <w:bCs/>
          <w:sz w:val="22"/>
          <w:szCs w:val="22"/>
        </w:rPr>
        <w:t>创新创业课程开设情况</w:t>
      </w:r>
    </w:p>
    <w:tbl>
      <w:tblPr>
        <w:tblStyle w:val="16"/>
        <w:tblW w:w="5117" w:type="pct"/>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919"/>
        <w:gridCol w:w="1082"/>
        <w:gridCol w:w="2552"/>
        <w:gridCol w:w="1698"/>
        <w:gridCol w:w="1140"/>
        <w:gridCol w:w="1140"/>
      </w:tblGrid>
      <w:tr>
        <w:trPr>
          <w:trHeight w:val="1043" w:hRule="atLeast"/>
          <w:tblHeader/>
        </w:trPr>
        <w:tc>
          <w:tcPr>
            <w:tcW w:w="539" w:type="pct"/>
            <w:tcBorders>
              <w:top w:val="single" w:color="4F81BD" w:sz="8" w:space="0"/>
              <w:left w:val="single" w:color="4F81BD" w:sz="8"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课程代码</w:t>
            </w:r>
          </w:p>
        </w:tc>
        <w:tc>
          <w:tcPr>
            <w:tcW w:w="634"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课程序号</w:t>
            </w:r>
          </w:p>
        </w:tc>
        <w:tc>
          <w:tcPr>
            <w:tcW w:w="1496"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课程名称</w:t>
            </w:r>
          </w:p>
        </w:tc>
        <w:tc>
          <w:tcPr>
            <w:tcW w:w="995"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教师</w:t>
            </w:r>
          </w:p>
        </w:tc>
        <w:tc>
          <w:tcPr>
            <w:tcW w:w="668"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学分</w:t>
            </w:r>
          </w:p>
        </w:tc>
        <w:tc>
          <w:tcPr>
            <w:tcW w:w="668" w:type="pct"/>
            <w:tcBorders>
              <w:top w:val="single" w:color="4F81BD" w:sz="8" w:space="0"/>
              <w:left w:val="dotted" w:color="auto" w:sz="6" w:space="0"/>
              <w:bottom w:val="single" w:color="4F81BD" w:sz="8" w:space="0"/>
              <w:right w:val="dotted" w:color="auto" w:sz="6" w:space="0"/>
            </w:tcBorders>
            <w:shd w:val="clear" w:color="auto" w:fill="FFFFFF" w:themeFill="background1"/>
            <w:vAlign w:val="center"/>
          </w:tcPr>
          <w:p>
            <w:pPr>
              <w:jc w:val="center"/>
              <w:rPr>
                <w:sz w:val="22"/>
                <w:szCs w:val="22"/>
              </w:rPr>
            </w:pPr>
            <w:r>
              <w:rPr>
                <w:rFonts w:hint="eastAsia"/>
                <w:sz w:val="22"/>
                <w:szCs w:val="22"/>
              </w:rPr>
              <w:t>选课人数</w:t>
            </w:r>
          </w:p>
        </w:tc>
      </w:tr>
      <w:tr>
        <w:trPr>
          <w:trHeight w:val="726" w:hRule="atLeast"/>
        </w:trPr>
        <w:tc>
          <w:tcPr>
            <w:tcW w:w="539"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1</w:t>
            </w:r>
            <w:r>
              <w:rPr>
                <w:sz w:val="22"/>
                <w:szCs w:val="22"/>
              </w:rPr>
              <w:t>5J001</w:t>
            </w:r>
          </w:p>
        </w:tc>
        <w:tc>
          <w:tcPr>
            <w:tcW w:w="634"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0982</w:t>
            </w:r>
          </w:p>
        </w:tc>
        <w:tc>
          <w:tcPr>
            <w:tcW w:w="1496"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挑战杯竞赛的培训与实战</w:t>
            </w:r>
          </w:p>
        </w:tc>
        <w:tc>
          <w:tcPr>
            <w:tcW w:w="995"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rPr>
                <w:sz w:val="22"/>
                <w:szCs w:val="22"/>
              </w:rPr>
            </w:pPr>
            <w:r>
              <w:rPr>
                <w:rFonts w:hint="eastAsia"/>
                <w:sz w:val="22"/>
                <w:szCs w:val="22"/>
              </w:rPr>
              <w:t>张强</w:t>
            </w:r>
          </w:p>
        </w:tc>
        <w:tc>
          <w:tcPr>
            <w:tcW w:w="668" w:type="pct"/>
            <w:tcBorders>
              <w:top w:val="single" w:color="4F81BD" w:sz="8" w:space="0"/>
              <w:left w:val="dotted" w:color="auto" w:sz="6" w:space="0"/>
              <w:bottom w:val="single" w:color="auto" w:sz="4" w:space="0"/>
              <w:right w:val="dotted" w:color="auto" w:sz="6" w:space="0"/>
            </w:tcBorders>
            <w:shd w:val="clear" w:color="auto" w:fill="FFFFFF"/>
            <w:vAlign w:val="center"/>
          </w:tcPr>
          <w:p>
            <w:pPr>
              <w:jc w:val="center"/>
              <w:rPr>
                <w:sz w:val="22"/>
                <w:szCs w:val="22"/>
              </w:rPr>
            </w:pPr>
            <w:r>
              <w:rPr>
                <w:rFonts w:hint="eastAsia"/>
                <w:sz w:val="22"/>
                <w:szCs w:val="22"/>
              </w:rPr>
              <w:t>1</w:t>
            </w:r>
          </w:p>
        </w:tc>
        <w:tc>
          <w:tcPr>
            <w:tcW w:w="668" w:type="pct"/>
            <w:tcBorders>
              <w:top w:val="single" w:color="4F81BD" w:sz="8" w:space="0"/>
              <w:left w:val="dotted" w:color="auto" w:sz="6" w:space="0"/>
              <w:bottom w:val="single" w:color="auto" w:sz="4" w:space="0"/>
              <w:right w:val="dotted" w:color="auto" w:sz="6" w:space="0"/>
            </w:tcBorders>
            <w:shd w:val="clear" w:color="auto" w:fill="FFFFFF"/>
            <w:vAlign w:val="center"/>
          </w:tcPr>
          <w:p>
            <w:pPr>
              <w:jc w:val="center"/>
              <w:rPr>
                <w:sz w:val="22"/>
                <w:szCs w:val="22"/>
              </w:rPr>
            </w:pPr>
            <w:r>
              <w:rPr>
                <w:rFonts w:hint="eastAsia"/>
                <w:sz w:val="22"/>
                <w:szCs w:val="22"/>
              </w:rPr>
              <w:t>46</w:t>
            </w:r>
          </w:p>
        </w:tc>
      </w:tr>
    </w:tbl>
    <w:p>
      <w:pPr>
        <w:rPr>
          <w:rFonts w:hint="eastAsia"/>
        </w:rPr>
      </w:pPr>
    </w:p>
    <w:p>
      <w:pPr>
        <w:pStyle w:val="4"/>
        <w:rPr>
          <w:rFonts w:ascii="宋体" w:hAnsi="宋体" w:eastAsia="宋体"/>
          <w:b w:val="0"/>
          <w:bCs w:val="0"/>
          <w:sz w:val="24"/>
          <w:szCs w:val="24"/>
        </w:rPr>
      </w:pPr>
      <w:bookmarkStart w:id="35" w:name="_Toc160195577"/>
      <w:r>
        <w:rPr>
          <w:rFonts w:ascii="宋体" w:hAnsi="宋体" w:eastAsia="宋体"/>
          <w:b w:val="0"/>
          <w:bCs w:val="0"/>
          <w:sz w:val="24"/>
          <w:szCs w:val="24"/>
        </w:rPr>
        <w:t>3.9学生毕业综合训练情况</w:t>
      </w:r>
      <w:bookmarkEnd w:id="3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46</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46</w:t>
            </w:r>
            <w:bookmarkStart w:id="36" w:name="OLE_LINK19"/>
            <w:bookmarkEnd w:id="36"/>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rPr>
          <w:jc w:val="center"/>
        </w:trPr>
        <w:tc>
          <w:tcPr>
            <w:tcW w:w="1980" w:type="dxa"/>
            <w:vMerge w:val="restart"/>
            <w:vAlign w:val="center"/>
          </w:tcPr>
          <w:p>
            <w:pPr>
              <w:jc w:val="center"/>
              <w:rPr>
                <w:sz w:val="22"/>
                <w:szCs w:val="22"/>
              </w:rPr>
            </w:pPr>
            <w:bookmarkStart w:id="37" w:name="OLE_LINK20"/>
            <w:r>
              <w:rPr>
                <w:rFonts w:hint="eastAsia"/>
                <w:sz w:val="22"/>
                <w:szCs w:val="22"/>
              </w:rPr>
              <w:t>指导教师数</w:t>
            </w:r>
            <w:bookmarkEnd w:id="37"/>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5</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15</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38" w:name="OLE_LINK21"/>
            <w:r>
              <w:rPr>
                <w:rFonts w:hint="eastAsia"/>
                <w:sz w:val="22"/>
                <w:szCs w:val="22"/>
              </w:rPr>
              <w:t>校外指导教师</w:t>
            </w:r>
            <w:bookmarkEnd w:id="38"/>
          </w:p>
        </w:tc>
        <w:tc>
          <w:tcPr>
            <w:tcW w:w="2347" w:type="dxa"/>
            <w:vAlign w:val="center"/>
          </w:tcPr>
          <w:p>
            <w:pPr>
              <w:jc w:val="center"/>
              <w:rPr>
                <w:sz w:val="22"/>
                <w:szCs w:val="22"/>
              </w:rPr>
            </w:pPr>
            <w:r>
              <w:rPr>
                <w:sz w:val="22"/>
                <w:szCs w:val="22"/>
              </w:rPr>
              <w:t>0</w:t>
            </w:r>
          </w:p>
        </w:tc>
      </w:tr>
      <w:tr>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2.3</w:t>
            </w:r>
          </w:p>
        </w:tc>
      </w:tr>
    </w:tbl>
    <w:p/>
    <w:p>
      <w:r>
        <w:rPr>
          <w:rFonts w:hint="eastAsia"/>
        </w:rPr>
        <w:t>※以上数据来源：表</w:t>
      </w:r>
      <w:r>
        <w:t xml:space="preserve"> 5-2</w:t>
      </w:r>
      <w:r>
        <w:rPr>
          <w:rFonts w:hint="eastAsia"/>
        </w:rPr>
        <w:t>学生毕业综合训练情况</w:t>
      </w:r>
    </w:p>
    <w:p>
      <w:pPr>
        <w:rPr>
          <w:rFonts w:hint="eastAsia"/>
        </w:rPr>
      </w:pPr>
    </w:p>
    <w:p>
      <w:pPr>
        <w:pStyle w:val="4"/>
        <w:adjustRightInd w:val="0"/>
        <w:snapToGrid w:val="0"/>
        <w:spacing w:before="0" w:after="0"/>
        <w:rPr>
          <w:rFonts w:ascii="宋体" w:hAnsi="宋体" w:eastAsia="宋体"/>
          <w:b w:val="0"/>
          <w:bCs w:val="0"/>
          <w:sz w:val="24"/>
          <w:szCs w:val="24"/>
        </w:rPr>
      </w:pPr>
      <w:bookmarkStart w:id="39" w:name="_Toc160195578"/>
      <w:r>
        <w:rPr>
          <w:rFonts w:ascii="宋体" w:hAnsi="宋体" w:eastAsia="宋体"/>
          <w:b w:val="0"/>
          <w:bCs w:val="0"/>
          <w:sz w:val="24"/>
          <w:szCs w:val="24"/>
        </w:rPr>
        <w:t>3.10</w:t>
      </w:r>
      <w:r>
        <w:rPr>
          <w:rFonts w:hint="eastAsia" w:ascii="宋体" w:hAnsi="宋体" w:eastAsia="宋体"/>
          <w:b w:val="0"/>
          <w:bCs w:val="0"/>
          <w:sz w:val="24"/>
          <w:szCs w:val="24"/>
        </w:rPr>
        <w:t>教学改革</w:t>
      </w:r>
      <w:bookmarkEnd w:id="39"/>
    </w:p>
    <w:p>
      <w:pPr>
        <w:shd w:val="clear" w:color="auto" w:fill="FFFFFF"/>
        <w:adjustRightInd w:val="0"/>
        <w:snapToGrid w:val="0"/>
        <w:spacing w:line="360" w:lineRule="auto"/>
        <w:ind w:firstLine="480" w:firstLineChars="200"/>
        <w:rPr>
          <w:color w:val="333333"/>
        </w:rPr>
      </w:pPr>
      <w:r>
        <w:rPr>
          <w:rFonts w:hint="eastAsia"/>
          <w:color w:val="333333"/>
        </w:rPr>
        <w:t>本年度，以迎接专业审核性评估和教育部专业评估以及劳动与社会保障专业上海市一流专业建设为契机，专业加强了教学改革的力度。继续进行在研教学建设项目—《政治学》、《社会调查方法》等省部级以及</w:t>
      </w:r>
      <w:r>
        <w:rPr>
          <w:color w:val="333333"/>
        </w:rPr>
        <w:t>《社会保障</w:t>
      </w:r>
      <w:r>
        <w:rPr>
          <w:rFonts w:hint="eastAsia"/>
          <w:color w:val="333333"/>
        </w:rPr>
        <w:t>概</w:t>
      </w:r>
      <w:r>
        <w:rPr>
          <w:color w:val="333333"/>
        </w:rPr>
        <w:t>论》、《社会救助》、《公共管理定量分析技术》等校级项目9项</w:t>
      </w:r>
      <w:r>
        <w:rPr>
          <w:rFonts w:hint="eastAsia"/>
          <w:color w:val="333333"/>
        </w:rPr>
        <w:t>的建设，致力于将教学建设成果应用与学生日常教学中</w:t>
      </w:r>
      <w:r>
        <w:rPr>
          <w:color w:val="333333"/>
        </w:rPr>
        <w:t>。</w:t>
      </w:r>
      <w:r>
        <w:rPr>
          <w:rFonts w:hint="eastAsia"/>
          <w:color w:val="333333"/>
        </w:rPr>
        <w:t>在专业建设与发展过程中，更加重视教学研究，更新教学观念、转变教学模式和方式、强调学生的学习自主性；积极实践启发式、发现式、讨论式、研究式教学，努力尝试将问题教学法、案例教学法、探究式发现法引入课堂，更加重视多媒体教学技术与其他专业教学资源的利用，如网络课堂平台、微视频、慕课等。</w:t>
      </w:r>
    </w:p>
    <w:p>
      <w:pPr>
        <w:shd w:val="clear" w:color="auto" w:fill="FFFFFF"/>
        <w:adjustRightInd w:val="0"/>
        <w:snapToGrid w:val="0"/>
        <w:spacing w:line="360" w:lineRule="auto"/>
        <w:ind w:firstLine="480" w:firstLineChars="200"/>
        <w:rPr>
          <w:rFonts w:hint="eastAsia"/>
          <w:color w:val="333333"/>
        </w:rPr>
      </w:pPr>
    </w:p>
    <w:p>
      <w:pPr>
        <w:pStyle w:val="3"/>
        <w:adjustRightInd w:val="0"/>
        <w:snapToGrid w:val="0"/>
        <w:spacing w:before="0" w:after="0" w:line="240" w:lineRule="auto"/>
        <w:jc w:val="left"/>
        <w:rPr>
          <w:rFonts w:ascii="宋体" w:hAnsi="宋体"/>
          <w:sz w:val="28"/>
          <w:szCs w:val="28"/>
        </w:rPr>
      </w:pPr>
      <w:bookmarkStart w:id="40" w:name="_Toc160195579"/>
      <w:r>
        <w:rPr>
          <w:rFonts w:ascii="宋体" w:hAnsi="宋体"/>
          <w:sz w:val="28"/>
          <w:szCs w:val="28"/>
        </w:rPr>
        <w:t>4.教师队伍</w:t>
      </w:r>
      <w:bookmarkEnd w:id="40"/>
      <w:r>
        <w:rPr>
          <w:rFonts w:ascii="宋体" w:hAnsi="宋体"/>
          <w:sz w:val="28"/>
          <w:szCs w:val="28"/>
        </w:rPr>
        <w:t xml:space="preserve"> </w:t>
      </w:r>
    </w:p>
    <w:p>
      <w:pPr>
        <w:pStyle w:val="4"/>
        <w:rPr>
          <w:rFonts w:ascii="宋体" w:hAnsi="宋体" w:eastAsia="宋体"/>
          <w:b w:val="0"/>
          <w:bCs w:val="0"/>
          <w:sz w:val="24"/>
          <w:szCs w:val="24"/>
        </w:rPr>
      </w:pPr>
      <w:bookmarkStart w:id="41" w:name="_Toc160195580"/>
      <w:r>
        <w:rPr>
          <w:rFonts w:ascii="宋体" w:hAnsi="宋体" w:eastAsia="宋体"/>
          <w:b w:val="0"/>
          <w:bCs w:val="0"/>
          <w:sz w:val="24"/>
          <w:szCs w:val="24"/>
        </w:rPr>
        <w:t>4.1专业教师数量与结构</w:t>
      </w:r>
      <w:bookmarkEnd w:id="41"/>
    </w:p>
    <w:p>
      <w:pPr>
        <w:pStyle w:val="5"/>
        <w:spacing w:line="240" w:lineRule="auto"/>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9</w:t>
            </w:r>
            <w:bookmarkStart w:id="42" w:name="OLE_LINK1"/>
            <w:bookmarkEnd w:id="42"/>
          </w:p>
        </w:tc>
        <w:tc>
          <w:tcPr>
            <w:tcW w:w="1638" w:type="dxa"/>
            <w:vAlign w:val="center"/>
          </w:tcPr>
          <w:p>
            <w:pPr>
              <w:jc w:val="center"/>
              <w:rPr>
                <w:sz w:val="21"/>
                <w:szCs w:val="21"/>
              </w:rPr>
            </w:pPr>
            <w:r>
              <w:rPr>
                <w:rFonts w:hint="eastAsia"/>
                <w:sz w:val="21"/>
                <w:szCs w:val="21"/>
              </w:rPr>
              <w:t>/</w:t>
            </w:r>
          </w:p>
        </w:tc>
      </w:tr>
      <w:tr>
        <w:tc>
          <w:tcPr>
            <w:tcW w:w="4815" w:type="dxa"/>
            <w:vAlign w:val="center"/>
          </w:tcPr>
          <w:p>
            <w:pPr>
              <w:jc w:val="center"/>
              <w:rPr>
                <w:sz w:val="21"/>
                <w:szCs w:val="21"/>
              </w:rPr>
            </w:pPr>
            <w:r>
              <w:rPr>
                <w:rFonts w:hint="eastAsia"/>
                <w:sz w:val="21"/>
                <w:szCs w:val="21"/>
              </w:rPr>
              <w:t>其中：</w:t>
            </w:r>
            <w:bookmarkStart w:id="43" w:name="OLE_LINK26"/>
            <w:r>
              <w:rPr>
                <w:rFonts w:hint="eastAsia"/>
                <w:sz w:val="21"/>
                <w:szCs w:val="21"/>
              </w:rPr>
              <w:t>近五年新增教师</w:t>
            </w:r>
            <w:bookmarkEnd w:id="43"/>
          </w:p>
        </w:tc>
        <w:tc>
          <w:tcPr>
            <w:tcW w:w="1843" w:type="dxa"/>
            <w:vAlign w:val="center"/>
          </w:tcPr>
          <w:p>
            <w:pPr>
              <w:jc w:val="center"/>
              <w:rPr>
                <w:sz w:val="21"/>
                <w:szCs w:val="21"/>
              </w:rPr>
            </w:pPr>
            <w:r>
              <w:rPr>
                <w:sz w:val="21"/>
                <w:szCs w:val="21"/>
              </w:rPr>
              <w:t>2</w:t>
            </w:r>
            <w:bookmarkStart w:id="44" w:name="OLE_LINK23"/>
            <w:bookmarkEnd w:id="44"/>
          </w:p>
        </w:tc>
        <w:tc>
          <w:tcPr>
            <w:tcW w:w="1638" w:type="dxa"/>
            <w:vAlign w:val="center"/>
          </w:tcPr>
          <w:p>
            <w:pPr>
              <w:jc w:val="center"/>
              <w:rPr>
                <w:sz w:val="21"/>
                <w:szCs w:val="21"/>
              </w:rPr>
            </w:pPr>
            <w:r>
              <w:rPr>
                <w:sz w:val="21"/>
                <w:szCs w:val="21"/>
              </w:rPr>
              <w:t>22.22</w:t>
            </w:r>
          </w:p>
        </w:tc>
      </w:tr>
      <w:tr>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7</w:t>
            </w:r>
          </w:p>
        </w:tc>
        <w:tc>
          <w:tcPr>
            <w:tcW w:w="1638" w:type="dxa"/>
            <w:vAlign w:val="center"/>
          </w:tcPr>
          <w:p>
            <w:pPr>
              <w:jc w:val="center"/>
              <w:rPr>
                <w:sz w:val="21"/>
                <w:szCs w:val="21"/>
              </w:rPr>
            </w:pPr>
            <w:r>
              <w:rPr>
                <w:sz w:val="21"/>
                <w:szCs w:val="21"/>
              </w:rPr>
              <w:t>77.78</w:t>
            </w:r>
          </w:p>
        </w:tc>
      </w:tr>
      <w:tr>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2</w:t>
            </w:r>
          </w:p>
        </w:tc>
        <w:tc>
          <w:tcPr>
            <w:tcW w:w="1638" w:type="dxa"/>
            <w:vAlign w:val="center"/>
          </w:tcPr>
          <w:p>
            <w:pPr>
              <w:jc w:val="center"/>
              <w:rPr>
                <w:sz w:val="21"/>
                <w:szCs w:val="21"/>
              </w:rPr>
            </w:pPr>
            <w:r>
              <w:rPr>
                <w:sz w:val="21"/>
                <w:szCs w:val="21"/>
              </w:rPr>
              <w:t>22.22</w:t>
            </w:r>
          </w:p>
        </w:tc>
      </w:tr>
      <w:tr>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5</w:t>
            </w:r>
          </w:p>
        </w:tc>
        <w:tc>
          <w:tcPr>
            <w:tcW w:w="1638" w:type="dxa"/>
            <w:vAlign w:val="center"/>
          </w:tcPr>
          <w:p>
            <w:pPr>
              <w:jc w:val="center"/>
              <w:rPr>
                <w:sz w:val="21"/>
                <w:szCs w:val="21"/>
              </w:rPr>
            </w:pPr>
            <w:r>
              <w:rPr>
                <w:sz w:val="21"/>
                <w:szCs w:val="21"/>
              </w:rPr>
              <w:t>55.56</w:t>
            </w:r>
          </w:p>
        </w:tc>
      </w:tr>
      <w:tr>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9</w:t>
            </w:r>
            <w:bookmarkStart w:id="45" w:name="OLE_LINK24"/>
            <w:bookmarkEnd w:id="45"/>
          </w:p>
        </w:tc>
        <w:tc>
          <w:tcPr>
            <w:tcW w:w="1638" w:type="dxa"/>
            <w:vAlign w:val="center"/>
          </w:tcPr>
          <w:p>
            <w:pPr>
              <w:jc w:val="center"/>
              <w:rPr>
                <w:sz w:val="21"/>
                <w:szCs w:val="21"/>
              </w:rPr>
            </w:pPr>
            <w:r>
              <w:rPr>
                <w:sz w:val="21"/>
                <w:szCs w:val="21"/>
              </w:rPr>
              <w:t>100</w:t>
            </w:r>
          </w:p>
        </w:tc>
      </w:tr>
      <w:tr>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3</w:t>
            </w:r>
            <w:bookmarkStart w:id="46" w:name="OLE_LINK25"/>
            <w:bookmarkEnd w:id="46"/>
          </w:p>
        </w:tc>
        <w:tc>
          <w:tcPr>
            <w:tcW w:w="1638" w:type="dxa"/>
            <w:vAlign w:val="center"/>
          </w:tcPr>
          <w:p>
            <w:pPr>
              <w:jc w:val="center"/>
              <w:rPr>
                <w:sz w:val="21"/>
                <w:szCs w:val="21"/>
              </w:rPr>
            </w:pPr>
            <w:r>
              <w:rPr>
                <w:sz w:val="21"/>
                <w:szCs w:val="21"/>
              </w:rPr>
              <w:t>33.33</w:t>
            </w:r>
          </w:p>
        </w:tc>
      </w:tr>
      <w:tr>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3</w:t>
            </w:r>
          </w:p>
        </w:tc>
        <w:tc>
          <w:tcPr>
            <w:tcW w:w="1638" w:type="dxa"/>
            <w:vAlign w:val="center"/>
          </w:tcPr>
          <w:p>
            <w:pPr>
              <w:jc w:val="center"/>
              <w:rPr>
                <w:sz w:val="21"/>
                <w:szCs w:val="21"/>
              </w:rPr>
            </w:pPr>
            <w:r>
              <w:rPr>
                <w:sz w:val="21"/>
                <w:szCs w:val="21"/>
              </w:rPr>
              <w:t>100</w:t>
            </w:r>
          </w:p>
        </w:tc>
      </w:tr>
      <w:tr>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47" w:name="OLE_LINK22"/>
            <w:bookmarkEnd w:id="47"/>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r>
        <w:rPr>
          <w:rFonts w:hint="eastAsia"/>
        </w:rPr>
        <w:t>。</w:t>
      </w:r>
    </w:p>
    <w:p>
      <w:pPr>
        <w:rPr>
          <w:rFonts w:hint="eastAsia"/>
        </w:rPr>
      </w:pP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9</w:t>
            </w:r>
          </w:p>
        </w:tc>
        <w:tc>
          <w:tcPr>
            <w:tcW w:w="2074" w:type="dxa"/>
            <w:vAlign w:val="center"/>
          </w:tcPr>
          <w:p>
            <w:pPr>
              <w:jc w:val="center"/>
              <w:rPr>
                <w:sz w:val="21"/>
                <w:szCs w:val="21"/>
              </w:rPr>
            </w:pPr>
            <w:r>
              <w:rPr>
                <w:rFonts w:hint="eastAsia"/>
                <w:sz w:val="21"/>
                <w:szCs w:val="21"/>
              </w:rPr>
              <w:t>/</w:t>
            </w:r>
          </w:p>
        </w:tc>
      </w:tr>
      <w:tr>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33.33</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22.22</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33.33</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11.11</w:t>
            </w:r>
          </w:p>
        </w:tc>
      </w:tr>
      <w:tr>
        <w:trPr>
          <w:cantSplit/>
        </w:trPr>
        <w:tc>
          <w:tcPr>
            <w:tcW w:w="1271" w:type="dxa"/>
            <w:vMerge w:val="restart"/>
            <w:vAlign w:val="center"/>
          </w:tcPr>
          <w:p>
            <w:pPr>
              <w:jc w:val="center"/>
              <w:rPr>
                <w:sz w:val="21"/>
                <w:szCs w:val="21"/>
              </w:rPr>
            </w:pPr>
            <w:bookmarkStart w:id="48" w:name="OLE_LINK30"/>
            <w:r>
              <w:rPr>
                <w:rFonts w:hint="eastAsia"/>
                <w:sz w:val="21"/>
                <w:szCs w:val="21"/>
              </w:rPr>
              <w:t>最高学位</w:t>
            </w:r>
            <w:bookmarkEnd w:id="48"/>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7</w:t>
            </w:r>
          </w:p>
        </w:tc>
        <w:tc>
          <w:tcPr>
            <w:tcW w:w="2074" w:type="dxa"/>
            <w:vAlign w:val="center"/>
          </w:tcPr>
          <w:p>
            <w:pPr>
              <w:jc w:val="center"/>
              <w:rPr>
                <w:sz w:val="21"/>
                <w:szCs w:val="21"/>
              </w:rPr>
            </w:pPr>
            <w:r>
              <w:rPr>
                <w:sz w:val="21"/>
                <w:szCs w:val="21"/>
              </w:rPr>
              <w:t>77.78</w:t>
            </w:r>
            <w:bookmarkStart w:id="49" w:name="OLE_LINK31"/>
            <w:bookmarkEnd w:id="49"/>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22.22</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22.22</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6</w:t>
            </w:r>
          </w:p>
        </w:tc>
        <w:tc>
          <w:tcPr>
            <w:tcW w:w="2074" w:type="dxa"/>
            <w:vAlign w:val="center"/>
          </w:tcPr>
          <w:p>
            <w:pPr>
              <w:jc w:val="center"/>
              <w:rPr>
                <w:sz w:val="21"/>
                <w:szCs w:val="21"/>
              </w:rPr>
            </w:pPr>
            <w:r>
              <w:rPr>
                <w:sz w:val="21"/>
                <w:szCs w:val="21"/>
              </w:rPr>
              <w:t>66.67</w:t>
            </w:r>
            <w:bookmarkStart w:id="50" w:name="OLE_LINK32"/>
            <w:bookmarkEnd w:id="50"/>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11.11</w:t>
            </w:r>
          </w:p>
        </w:tc>
      </w:tr>
      <w:tr>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1" w:name="OLE_LINK27"/>
            <w:r>
              <w:rPr>
                <w:rFonts w:hint="eastAsia"/>
                <w:sz w:val="21"/>
                <w:szCs w:val="22"/>
              </w:rPr>
              <w:t>本校</w:t>
            </w:r>
            <w:bookmarkEnd w:id="51"/>
          </w:p>
        </w:tc>
        <w:tc>
          <w:tcPr>
            <w:tcW w:w="2074" w:type="dxa"/>
            <w:vAlign w:val="center"/>
          </w:tcPr>
          <w:p>
            <w:pPr>
              <w:jc w:val="center"/>
              <w:rPr>
                <w:sz w:val="21"/>
                <w:szCs w:val="21"/>
              </w:rPr>
            </w:pPr>
            <w:r>
              <w:rPr>
                <w:sz w:val="21"/>
                <w:szCs w:val="21"/>
              </w:rPr>
              <w:t>1</w:t>
            </w:r>
            <w:bookmarkStart w:id="52" w:name="OLE_LINK29"/>
            <w:bookmarkEnd w:id="52"/>
          </w:p>
        </w:tc>
        <w:tc>
          <w:tcPr>
            <w:tcW w:w="2074" w:type="dxa"/>
            <w:vAlign w:val="center"/>
          </w:tcPr>
          <w:p>
            <w:pPr>
              <w:jc w:val="center"/>
              <w:rPr>
                <w:sz w:val="21"/>
                <w:szCs w:val="21"/>
              </w:rPr>
            </w:pPr>
            <w:r>
              <w:rPr>
                <w:sz w:val="21"/>
                <w:szCs w:val="21"/>
              </w:rPr>
              <w:t>11.11</w:t>
            </w:r>
          </w:p>
        </w:tc>
      </w:tr>
      <w:tr>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3" w:name="OLE_LINK28"/>
            <w:r>
              <w:rPr>
                <w:rFonts w:hint="eastAsia"/>
                <w:sz w:val="21"/>
                <w:szCs w:val="22"/>
              </w:rPr>
              <w:t>外校</w:t>
            </w:r>
            <w:bookmarkEnd w:id="53"/>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7</w:t>
            </w:r>
          </w:p>
        </w:tc>
        <w:tc>
          <w:tcPr>
            <w:tcW w:w="2074" w:type="dxa"/>
            <w:vAlign w:val="center"/>
          </w:tcPr>
          <w:p>
            <w:pPr>
              <w:jc w:val="center"/>
              <w:rPr>
                <w:sz w:val="21"/>
                <w:szCs w:val="21"/>
              </w:rPr>
            </w:pPr>
            <w:r>
              <w:rPr>
                <w:sz w:val="21"/>
                <w:szCs w:val="21"/>
              </w:rPr>
              <w:t>77.78</w:t>
            </w:r>
          </w:p>
        </w:tc>
      </w:tr>
      <w:tr>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11.11</w:t>
            </w:r>
          </w:p>
        </w:tc>
      </w:tr>
    </w:tbl>
    <w:p/>
    <w:p>
      <w:pPr>
        <w:pStyle w:val="4"/>
        <w:rPr>
          <w:rFonts w:ascii="宋体" w:hAnsi="宋体" w:eastAsia="宋体"/>
          <w:b w:val="0"/>
          <w:bCs w:val="0"/>
          <w:sz w:val="24"/>
          <w:szCs w:val="24"/>
        </w:rPr>
      </w:pPr>
      <w:bookmarkStart w:id="54" w:name="_Toc160195581"/>
      <w:r>
        <w:rPr>
          <w:rFonts w:ascii="宋体" w:hAnsi="宋体" w:eastAsia="宋体"/>
          <w:b w:val="0"/>
          <w:bCs w:val="0"/>
          <w:sz w:val="24"/>
          <w:szCs w:val="24"/>
        </w:rPr>
        <w:t>4.2授课师资分析</w:t>
      </w:r>
      <w:bookmarkEnd w:id="54"/>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5" w:name="OLE_LINK33"/>
            <w:r>
              <w:rPr>
                <w:rFonts w:hint="eastAsia"/>
                <w:sz w:val="21"/>
                <w:szCs w:val="21"/>
              </w:rPr>
              <w:t>核心课授课</w:t>
            </w:r>
            <w:bookmarkEnd w:id="55"/>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759" w:type="dxa"/>
            <w:vAlign w:val="center"/>
          </w:tcPr>
          <w:p>
            <w:pPr>
              <w:jc w:val="center"/>
              <w:rPr>
                <w:sz w:val="21"/>
                <w:szCs w:val="21"/>
              </w:rPr>
            </w:pPr>
            <w:r>
              <w:rPr>
                <w:rFonts w:hint="eastAsia"/>
                <w:sz w:val="21"/>
                <w:szCs w:val="21"/>
              </w:rPr>
              <w:t>总数</w:t>
            </w:r>
          </w:p>
        </w:tc>
        <w:tc>
          <w:tcPr>
            <w:tcW w:w="1821" w:type="dxa"/>
            <w:vAlign w:val="center"/>
          </w:tcPr>
          <w:p>
            <w:pPr>
              <w:jc w:val="center"/>
              <w:rPr>
                <w:sz w:val="21"/>
                <w:szCs w:val="21"/>
              </w:rPr>
            </w:pPr>
            <w:r>
              <w:rPr>
                <w:sz w:val="21"/>
                <w:szCs w:val="21"/>
              </w:rPr>
              <w:t>66</w:t>
            </w:r>
          </w:p>
        </w:tc>
        <w:tc>
          <w:tcPr>
            <w:tcW w:w="1822"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39</w:t>
            </w:r>
          </w:p>
        </w:tc>
        <w:tc>
          <w:tcPr>
            <w:tcW w:w="2060" w:type="dxa"/>
            <w:vAlign w:val="center"/>
          </w:tcPr>
          <w:p>
            <w:pPr>
              <w:jc w:val="center"/>
              <w:rPr>
                <w:sz w:val="21"/>
                <w:szCs w:val="21"/>
              </w:rPr>
            </w:pPr>
            <w:r>
              <w:rPr>
                <w:rFonts w:hint="eastAsia"/>
                <w:sz w:val="21"/>
                <w:szCs w:val="21"/>
              </w:rPr>
              <w:t>/</w:t>
            </w:r>
          </w:p>
        </w:tc>
      </w:tr>
      <w:tr>
        <w:tc>
          <w:tcPr>
            <w:tcW w:w="759" w:type="dxa"/>
            <w:vAlign w:val="center"/>
          </w:tcPr>
          <w:p>
            <w:pPr>
              <w:jc w:val="center"/>
              <w:rPr>
                <w:sz w:val="21"/>
                <w:szCs w:val="21"/>
              </w:rPr>
            </w:pPr>
            <w:r>
              <w:rPr>
                <w:rFonts w:hint="eastAsia"/>
                <w:sz w:val="21"/>
                <w:szCs w:val="21"/>
              </w:rPr>
              <w:t>教授</w:t>
            </w:r>
          </w:p>
        </w:tc>
        <w:tc>
          <w:tcPr>
            <w:tcW w:w="1821" w:type="dxa"/>
            <w:vAlign w:val="center"/>
          </w:tcPr>
          <w:p>
            <w:pPr>
              <w:jc w:val="center"/>
              <w:rPr>
                <w:sz w:val="21"/>
                <w:szCs w:val="21"/>
              </w:rPr>
            </w:pPr>
            <w:r>
              <w:rPr>
                <w:sz w:val="21"/>
                <w:szCs w:val="21"/>
              </w:rPr>
              <w:t>9</w:t>
            </w:r>
          </w:p>
        </w:tc>
        <w:tc>
          <w:tcPr>
            <w:tcW w:w="1822" w:type="dxa"/>
            <w:vAlign w:val="center"/>
          </w:tcPr>
          <w:p>
            <w:pPr>
              <w:jc w:val="center"/>
              <w:rPr>
                <w:sz w:val="21"/>
                <w:szCs w:val="21"/>
              </w:rPr>
            </w:pPr>
            <w:r>
              <w:rPr>
                <w:sz w:val="21"/>
                <w:szCs w:val="21"/>
              </w:rPr>
              <w:t>13.64</w:t>
            </w:r>
          </w:p>
        </w:tc>
        <w:tc>
          <w:tcPr>
            <w:tcW w:w="2060" w:type="dxa"/>
            <w:vAlign w:val="center"/>
          </w:tcPr>
          <w:p>
            <w:pPr>
              <w:jc w:val="center"/>
              <w:rPr>
                <w:sz w:val="21"/>
                <w:szCs w:val="21"/>
              </w:rPr>
            </w:pPr>
            <w:r>
              <w:rPr>
                <w:sz w:val="21"/>
                <w:szCs w:val="21"/>
              </w:rPr>
              <w:t>7</w:t>
            </w:r>
          </w:p>
        </w:tc>
        <w:tc>
          <w:tcPr>
            <w:tcW w:w="2060" w:type="dxa"/>
            <w:vAlign w:val="center"/>
          </w:tcPr>
          <w:p>
            <w:pPr>
              <w:jc w:val="center"/>
              <w:rPr>
                <w:sz w:val="21"/>
                <w:szCs w:val="21"/>
              </w:rPr>
            </w:pPr>
            <w:r>
              <w:rPr>
                <w:sz w:val="21"/>
                <w:szCs w:val="21"/>
              </w:rPr>
              <w:t>17.95</w:t>
            </w:r>
          </w:p>
        </w:tc>
      </w:tr>
      <w:tr>
        <w:tc>
          <w:tcPr>
            <w:tcW w:w="759" w:type="dxa"/>
            <w:vAlign w:val="center"/>
          </w:tcPr>
          <w:p>
            <w:pPr>
              <w:jc w:val="center"/>
              <w:rPr>
                <w:sz w:val="21"/>
                <w:szCs w:val="21"/>
              </w:rPr>
            </w:pPr>
            <w:r>
              <w:rPr>
                <w:rFonts w:hint="eastAsia"/>
                <w:sz w:val="21"/>
                <w:szCs w:val="21"/>
              </w:rPr>
              <w:t>副教授</w:t>
            </w:r>
          </w:p>
        </w:tc>
        <w:tc>
          <w:tcPr>
            <w:tcW w:w="1821" w:type="dxa"/>
            <w:vAlign w:val="center"/>
          </w:tcPr>
          <w:p>
            <w:pPr>
              <w:jc w:val="center"/>
              <w:rPr>
                <w:sz w:val="21"/>
                <w:szCs w:val="21"/>
              </w:rPr>
            </w:pPr>
            <w:r>
              <w:rPr>
                <w:sz w:val="21"/>
                <w:szCs w:val="21"/>
              </w:rPr>
              <w:t>22</w:t>
            </w:r>
          </w:p>
        </w:tc>
        <w:tc>
          <w:tcPr>
            <w:tcW w:w="1822" w:type="dxa"/>
            <w:vAlign w:val="center"/>
          </w:tcPr>
          <w:p>
            <w:pPr>
              <w:jc w:val="center"/>
              <w:rPr>
                <w:sz w:val="21"/>
                <w:szCs w:val="21"/>
              </w:rPr>
            </w:pPr>
            <w:r>
              <w:rPr>
                <w:sz w:val="21"/>
                <w:szCs w:val="21"/>
              </w:rPr>
              <w:t>33.33</w:t>
            </w:r>
          </w:p>
        </w:tc>
        <w:tc>
          <w:tcPr>
            <w:tcW w:w="2060" w:type="dxa"/>
            <w:vAlign w:val="center"/>
          </w:tcPr>
          <w:p>
            <w:pPr>
              <w:jc w:val="center"/>
              <w:rPr>
                <w:sz w:val="21"/>
                <w:szCs w:val="21"/>
              </w:rPr>
            </w:pPr>
            <w:r>
              <w:rPr>
                <w:sz w:val="21"/>
                <w:szCs w:val="21"/>
              </w:rPr>
              <w:t>14</w:t>
            </w:r>
          </w:p>
        </w:tc>
        <w:tc>
          <w:tcPr>
            <w:tcW w:w="2060" w:type="dxa"/>
            <w:vAlign w:val="center"/>
          </w:tcPr>
          <w:p>
            <w:pPr>
              <w:jc w:val="center"/>
              <w:rPr>
                <w:sz w:val="21"/>
                <w:szCs w:val="21"/>
              </w:rPr>
            </w:pPr>
            <w:r>
              <w:rPr>
                <w:sz w:val="21"/>
                <w:szCs w:val="21"/>
              </w:rPr>
              <w:t>35.9</w:t>
            </w:r>
            <w:bookmarkStart w:id="56" w:name="OLE_LINK34"/>
            <w:bookmarkEnd w:id="56"/>
          </w:p>
        </w:tc>
      </w:tr>
      <w:tr>
        <w:tc>
          <w:tcPr>
            <w:tcW w:w="759" w:type="dxa"/>
            <w:vAlign w:val="center"/>
          </w:tcPr>
          <w:p>
            <w:pPr>
              <w:jc w:val="center"/>
              <w:rPr>
                <w:sz w:val="21"/>
                <w:szCs w:val="21"/>
              </w:rPr>
            </w:pPr>
            <w:r>
              <w:rPr>
                <w:rFonts w:hint="eastAsia"/>
                <w:sz w:val="21"/>
                <w:szCs w:val="21"/>
              </w:rPr>
              <w:t>讲师</w:t>
            </w:r>
          </w:p>
        </w:tc>
        <w:tc>
          <w:tcPr>
            <w:tcW w:w="1821" w:type="dxa"/>
            <w:vAlign w:val="center"/>
          </w:tcPr>
          <w:p>
            <w:pPr>
              <w:jc w:val="center"/>
              <w:rPr>
                <w:sz w:val="21"/>
                <w:szCs w:val="21"/>
              </w:rPr>
            </w:pPr>
            <w:r>
              <w:rPr>
                <w:sz w:val="21"/>
                <w:szCs w:val="21"/>
              </w:rPr>
              <w:t>33</w:t>
            </w:r>
          </w:p>
        </w:tc>
        <w:tc>
          <w:tcPr>
            <w:tcW w:w="1822" w:type="dxa"/>
            <w:vAlign w:val="center"/>
          </w:tcPr>
          <w:p>
            <w:pPr>
              <w:jc w:val="center"/>
              <w:rPr>
                <w:sz w:val="21"/>
                <w:szCs w:val="21"/>
              </w:rPr>
            </w:pPr>
            <w:r>
              <w:rPr>
                <w:sz w:val="21"/>
                <w:szCs w:val="21"/>
              </w:rPr>
              <w:t>50</w:t>
            </w:r>
          </w:p>
        </w:tc>
        <w:tc>
          <w:tcPr>
            <w:tcW w:w="2060" w:type="dxa"/>
            <w:vAlign w:val="center"/>
          </w:tcPr>
          <w:p>
            <w:pPr>
              <w:jc w:val="center"/>
              <w:rPr>
                <w:sz w:val="21"/>
                <w:szCs w:val="21"/>
              </w:rPr>
            </w:pPr>
            <w:r>
              <w:rPr>
                <w:sz w:val="21"/>
                <w:szCs w:val="21"/>
              </w:rPr>
              <w:t>17</w:t>
            </w:r>
          </w:p>
        </w:tc>
        <w:tc>
          <w:tcPr>
            <w:tcW w:w="2060" w:type="dxa"/>
            <w:vAlign w:val="center"/>
          </w:tcPr>
          <w:p>
            <w:pPr>
              <w:jc w:val="center"/>
              <w:rPr>
                <w:sz w:val="21"/>
                <w:szCs w:val="21"/>
              </w:rPr>
            </w:pPr>
            <w:r>
              <w:rPr>
                <w:sz w:val="21"/>
                <w:szCs w:val="21"/>
              </w:rPr>
              <w:t>43.59</w:t>
            </w:r>
          </w:p>
        </w:tc>
      </w:tr>
      <w:tr>
        <w:tc>
          <w:tcPr>
            <w:tcW w:w="759" w:type="dxa"/>
            <w:vAlign w:val="center"/>
          </w:tcPr>
          <w:p>
            <w:pPr>
              <w:jc w:val="center"/>
              <w:rPr>
                <w:sz w:val="21"/>
                <w:szCs w:val="21"/>
              </w:rPr>
            </w:pPr>
            <w:r>
              <w:rPr>
                <w:rFonts w:hint="eastAsia"/>
                <w:sz w:val="21"/>
                <w:szCs w:val="21"/>
              </w:rPr>
              <w:t>助教</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其他正高级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其他副高级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其他中级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1.52</w:t>
            </w:r>
          </w:p>
        </w:tc>
        <w:tc>
          <w:tcPr>
            <w:tcW w:w="2060" w:type="dxa"/>
            <w:vAlign w:val="center"/>
          </w:tcPr>
          <w:p>
            <w:pPr>
              <w:jc w:val="center"/>
              <w:rPr>
                <w:sz w:val="21"/>
                <w:szCs w:val="21"/>
              </w:rPr>
            </w:pPr>
            <w:r>
              <w:rPr>
                <w:sz w:val="21"/>
                <w:szCs w:val="21"/>
              </w:rPr>
              <w:t>1</w:t>
            </w:r>
          </w:p>
        </w:tc>
        <w:tc>
          <w:tcPr>
            <w:tcW w:w="2060" w:type="dxa"/>
            <w:vAlign w:val="center"/>
          </w:tcPr>
          <w:p>
            <w:pPr>
              <w:jc w:val="center"/>
              <w:rPr>
                <w:sz w:val="21"/>
                <w:szCs w:val="21"/>
              </w:rPr>
            </w:pPr>
            <w:r>
              <w:rPr>
                <w:sz w:val="21"/>
                <w:szCs w:val="21"/>
              </w:rPr>
              <w:t>2.56</w:t>
            </w:r>
          </w:p>
        </w:tc>
      </w:tr>
      <w:tr>
        <w:tc>
          <w:tcPr>
            <w:tcW w:w="759" w:type="dxa"/>
            <w:vAlign w:val="center"/>
          </w:tcPr>
          <w:p>
            <w:pPr>
              <w:jc w:val="center"/>
              <w:rPr>
                <w:sz w:val="21"/>
                <w:szCs w:val="21"/>
              </w:rPr>
            </w:pPr>
            <w:r>
              <w:rPr>
                <w:rFonts w:hint="eastAsia"/>
                <w:sz w:val="21"/>
                <w:szCs w:val="21"/>
              </w:rPr>
              <w:t>其他初级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未评级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1.52</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59</w:t>
            </w:r>
          </w:p>
        </w:tc>
        <w:tc>
          <w:tcPr>
            <w:tcW w:w="1628" w:type="dxa"/>
            <w:vAlign w:val="center"/>
          </w:tcPr>
          <w:p>
            <w:pPr>
              <w:jc w:val="center"/>
              <w:rPr>
                <w:sz w:val="21"/>
                <w:szCs w:val="21"/>
              </w:rPr>
            </w:pPr>
            <w:r>
              <w:rPr>
                <w:sz w:val="21"/>
                <w:szCs w:val="21"/>
              </w:rPr>
              <w:t>89.39</w:t>
            </w:r>
          </w:p>
        </w:tc>
        <w:tc>
          <w:tcPr>
            <w:tcW w:w="2074" w:type="dxa"/>
            <w:vAlign w:val="center"/>
          </w:tcPr>
          <w:p>
            <w:pPr>
              <w:jc w:val="center"/>
              <w:rPr>
                <w:sz w:val="21"/>
                <w:szCs w:val="21"/>
              </w:rPr>
            </w:pPr>
            <w:r>
              <w:rPr>
                <w:sz w:val="21"/>
                <w:szCs w:val="21"/>
              </w:rPr>
              <w:t>36</w:t>
            </w:r>
          </w:p>
        </w:tc>
        <w:tc>
          <w:tcPr>
            <w:tcW w:w="1925" w:type="dxa"/>
            <w:vAlign w:val="center"/>
          </w:tcPr>
          <w:p>
            <w:pPr>
              <w:jc w:val="center"/>
              <w:rPr>
                <w:sz w:val="21"/>
                <w:szCs w:val="21"/>
              </w:rPr>
            </w:pPr>
            <w:r>
              <w:rPr>
                <w:sz w:val="21"/>
                <w:szCs w:val="21"/>
              </w:rPr>
              <w:t>92.31</w:t>
            </w:r>
            <w:bookmarkStart w:id="57" w:name="OLE_LINK36"/>
            <w:bookmarkEnd w:id="57"/>
          </w:p>
        </w:tc>
      </w:tr>
      <w:tr>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7</w:t>
            </w:r>
          </w:p>
        </w:tc>
        <w:tc>
          <w:tcPr>
            <w:tcW w:w="1628" w:type="dxa"/>
            <w:vAlign w:val="center"/>
          </w:tcPr>
          <w:p>
            <w:pPr>
              <w:jc w:val="center"/>
              <w:rPr>
                <w:sz w:val="21"/>
                <w:szCs w:val="21"/>
              </w:rPr>
            </w:pPr>
            <w:r>
              <w:rPr>
                <w:sz w:val="21"/>
                <w:szCs w:val="21"/>
              </w:rPr>
              <w:t>10.61</w:t>
            </w:r>
            <w:bookmarkStart w:id="58" w:name="OLE_LINK35"/>
            <w:bookmarkEnd w:id="58"/>
          </w:p>
        </w:tc>
        <w:tc>
          <w:tcPr>
            <w:tcW w:w="2074" w:type="dxa"/>
            <w:vAlign w:val="center"/>
          </w:tcPr>
          <w:p>
            <w:pPr>
              <w:jc w:val="center"/>
              <w:rPr>
                <w:sz w:val="21"/>
                <w:szCs w:val="21"/>
              </w:rPr>
            </w:pPr>
            <w:r>
              <w:rPr>
                <w:sz w:val="21"/>
                <w:szCs w:val="21"/>
              </w:rPr>
              <w:t>3</w:t>
            </w:r>
          </w:p>
        </w:tc>
        <w:tc>
          <w:tcPr>
            <w:tcW w:w="1925" w:type="dxa"/>
            <w:vAlign w:val="center"/>
          </w:tcPr>
          <w:p>
            <w:pPr>
              <w:jc w:val="center"/>
              <w:rPr>
                <w:sz w:val="21"/>
                <w:szCs w:val="21"/>
              </w:rPr>
            </w:pPr>
            <w:r>
              <w:rPr>
                <w:sz w:val="21"/>
                <w:szCs w:val="21"/>
              </w:rPr>
              <w:t>7.69</w:t>
            </w:r>
            <w:bookmarkStart w:id="59" w:name="OLE_LINK37"/>
            <w:bookmarkEnd w:id="59"/>
          </w:p>
        </w:tc>
      </w:tr>
      <w:tr>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0" w:name="OLE_LINK38"/>
            <w:bookmarkEnd w:id="60"/>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61" w:name="OLE_LINK39"/>
      <w:r>
        <w:rPr>
          <w:rFonts w:ascii="宋体" w:hAnsi="宋体" w:eastAsia="宋体" w:cstheme="minorBidi"/>
          <w:b w:val="0"/>
          <w:bCs w:val="0"/>
          <w:kern w:val="2"/>
          <w:sz w:val="24"/>
          <w:szCs w:val="24"/>
        </w:rPr>
        <w:t>年龄</w:t>
      </w:r>
      <w:bookmarkEnd w:id="61"/>
      <w:r>
        <w:rPr>
          <w:rFonts w:ascii="宋体" w:hAnsi="宋体" w:eastAsia="宋体" w:cstheme="minorBidi"/>
          <w:b w:val="0"/>
          <w:bCs w:val="0"/>
          <w:kern w:val="2"/>
          <w:sz w:val="24"/>
          <w:szCs w:val="24"/>
        </w:rPr>
        <w:t>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c>
          <w:tcPr>
            <w:tcW w:w="957"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center"/>
              <w:rPr>
                <w:sz w:val="21"/>
                <w:szCs w:val="21"/>
              </w:rPr>
            </w:pPr>
            <w:r>
              <w:rPr>
                <w:sz w:val="21"/>
                <w:szCs w:val="21"/>
              </w:rPr>
              <w:t>17</w:t>
            </w:r>
          </w:p>
        </w:tc>
        <w:tc>
          <w:tcPr>
            <w:tcW w:w="1754" w:type="dxa"/>
            <w:vAlign w:val="center"/>
          </w:tcPr>
          <w:p>
            <w:pPr>
              <w:jc w:val="center"/>
              <w:rPr>
                <w:sz w:val="21"/>
                <w:szCs w:val="21"/>
              </w:rPr>
            </w:pPr>
            <w:r>
              <w:rPr>
                <w:sz w:val="21"/>
                <w:szCs w:val="21"/>
              </w:rPr>
              <w:t>25.76</w:t>
            </w:r>
          </w:p>
        </w:tc>
        <w:tc>
          <w:tcPr>
            <w:tcW w:w="1916" w:type="dxa"/>
            <w:vAlign w:val="center"/>
          </w:tcPr>
          <w:p>
            <w:pPr>
              <w:jc w:val="center"/>
              <w:rPr>
                <w:sz w:val="21"/>
                <w:szCs w:val="21"/>
              </w:rPr>
            </w:pPr>
            <w:r>
              <w:rPr>
                <w:sz w:val="21"/>
                <w:szCs w:val="21"/>
              </w:rPr>
              <w:t>10</w:t>
            </w:r>
          </w:p>
        </w:tc>
        <w:tc>
          <w:tcPr>
            <w:tcW w:w="2078" w:type="dxa"/>
            <w:vAlign w:val="center"/>
          </w:tcPr>
          <w:p>
            <w:pPr>
              <w:jc w:val="center"/>
              <w:rPr>
                <w:sz w:val="21"/>
                <w:szCs w:val="21"/>
              </w:rPr>
            </w:pPr>
            <w:r>
              <w:rPr>
                <w:sz w:val="21"/>
                <w:szCs w:val="21"/>
              </w:rPr>
              <w:t>25.64</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center"/>
              <w:rPr>
                <w:sz w:val="21"/>
                <w:szCs w:val="21"/>
              </w:rPr>
            </w:pPr>
            <w:r>
              <w:rPr>
                <w:sz w:val="21"/>
                <w:szCs w:val="21"/>
              </w:rPr>
              <w:t>38</w:t>
            </w:r>
          </w:p>
        </w:tc>
        <w:tc>
          <w:tcPr>
            <w:tcW w:w="1754" w:type="dxa"/>
            <w:vAlign w:val="center"/>
          </w:tcPr>
          <w:p>
            <w:pPr>
              <w:jc w:val="center"/>
              <w:rPr>
                <w:sz w:val="21"/>
                <w:szCs w:val="21"/>
              </w:rPr>
            </w:pPr>
            <w:r>
              <w:rPr>
                <w:sz w:val="21"/>
                <w:szCs w:val="21"/>
              </w:rPr>
              <w:t>57.58</w:t>
            </w:r>
          </w:p>
        </w:tc>
        <w:tc>
          <w:tcPr>
            <w:tcW w:w="1916" w:type="dxa"/>
            <w:vAlign w:val="center"/>
          </w:tcPr>
          <w:p>
            <w:pPr>
              <w:jc w:val="center"/>
              <w:rPr>
                <w:sz w:val="21"/>
                <w:szCs w:val="21"/>
              </w:rPr>
            </w:pPr>
            <w:r>
              <w:rPr>
                <w:sz w:val="21"/>
                <w:szCs w:val="21"/>
              </w:rPr>
              <w:t>23</w:t>
            </w:r>
          </w:p>
        </w:tc>
        <w:tc>
          <w:tcPr>
            <w:tcW w:w="2078" w:type="dxa"/>
            <w:vAlign w:val="center"/>
          </w:tcPr>
          <w:p>
            <w:pPr>
              <w:jc w:val="center"/>
              <w:rPr>
                <w:sz w:val="21"/>
                <w:szCs w:val="21"/>
              </w:rPr>
            </w:pPr>
            <w:r>
              <w:rPr>
                <w:sz w:val="21"/>
                <w:szCs w:val="21"/>
              </w:rPr>
              <w:t>58.97</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center"/>
              <w:rPr>
                <w:sz w:val="21"/>
                <w:szCs w:val="21"/>
              </w:rPr>
            </w:pPr>
            <w:r>
              <w:rPr>
                <w:sz w:val="21"/>
                <w:szCs w:val="21"/>
              </w:rPr>
              <w:t>9</w:t>
            </w:r>
          </w:p>
        </w:tc>
        <w:tc>
          <w:tcPr>
            <w:tcW w:w="1754" w:type="dxa"/>
            <w:vAlign w:val="center"/>
          </w:tcPr>
          <w:p>
            <w:pPr>
              <w:jc w:val="center"/>
              <w:rPr>
                <w:sz w:val="21"/>
                <w:szCs w:val="21"/>
              </w:rPr>
            </w:pPr>
            <w:r>
              <w:rPr>
                <w:sz w:val="21"/>
                <w:szCs w:val="21"/>
              </w:rPr>
              <w:t>13.64</w:t>
            </w:r>
          </w:p>
        </w:tc>
        <w:tc>
          <w:tcPr>
            <w:tcW w:w="1916" w:type="dxa"/>
            <w:vAlign w:val="center"/>
          </w:tcPr>
          <w:p>
            <w:pPr>
              <w:jc w:val="center"/>
              <w:rPr>
                <w:sz w:val="21"/>
                <w:szCs w:val="21"/>
              </w:rPr>
            </w:pPr>
            <w:r>
              <w:rPr>
                <w:sz w:val="21"/>
                <w:szCs w:val="21"/>
              </w:rPr>
              <w:t>5</w:t>
            </w:r>
          </w:p>
        </w:tc>
        <w:tc>
          <w:tcPr>
            <w:tcW w:w="2078" w:type="dxa"/>
            <w:vAlign w:val="center"/>
          </w:tcPr>
          <w:p>
            <w:pPr>
              <w:jc w:val="center"/>
              <w:rPr>
                <w:sz w:val="21"/>
                <w:szCs w:val="21"/>
              </w:rPr>
            </w:pPr>
            <w:r>
              <w:rPr>
                <w:sz w:val="21"/>
                <w:szCs w:val="21"/>
              </w:rPr>
              <w:t>12.82</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center"/>
              <w:rPr>
                <w:sz w:val="21"/>
                <w:szCs w:val="21"/>
              </w:rPr>
            </w:pPr>
            <w:r>
              <w:rPr>
                <w:sz w:val="21"/>
                <w:szCs w:val="21"/>
              </w:rPr>
              <w:t>2</w:t>
            </w:r>
          </w:p>
        </w:tc>
        <w:tc>
          <w:tcPr>
            <w:tcW w:w="1754" w:type="dxa"/>
            <w:vAlign w:val="center"/>
          </w:tcPr>
          <w:p>
            <w:pPr>
              <w:jc w:val="center"/>
              <w:rPr>
                <w:sz w:val="21"/>
                <w:szCs w:val="21"/>
              </w:rPr>
            </w:pPr>
            <w:r>
              <w:rPr>
                <w:sz w:val="21"/>
                <w:szCs w:val="21"/>
              </w:rPr>
              <w:t>3.03</w:t>
            </w:r>
          </w:p>
        </w:tc>
        <w:tc>
          <w:tcPr>
            <w:tcW w:w="1916" w:type="dxa"/>
            <w:vAlign w:val="center"/>
          </w:tcPr>
          <w:p>
            <w:pPr>
              <w:jc w:val="center"/>
              <w:rPr>
                <w:sz w:val="21"/>
                <w:szCs w:val="21"/>
              </w:rPr>
            </w:pPr>
            <w:r>
              <w:rPr>
                <w:sz w:val="21"/>
                <w:szCs w:val="21"/>
              </w:rPr>
              <w:t>1</w:t>
            </w:r>
          </w:p>
        </w:tc>
        <w:tc>
          <w:tcPr>
            <w:tcW w:w="2078" w:type="dxa"/>
            <w:vAlign w:val="center"/>
          </w:tcPr>
          <w:p>
            <w:pPr>
              <w:jc w:val="center"/>
              <w:rPr>
                <w:sz w:val="21"/>
                <w:szCs w:val="21"/>
              </w:rPr>
            </w:pPr>
            <w:r>
              <w:rPr>
                <w:sz w:val="21"/>
                <w:szCs w:val="21"/>
              </w:rPr>
              <w:t>2.56</w:t>
            </w:r>
            <w:bookmarkStart w:id="62" w:name="OLE_LINK40"/>
            <w:bookmarkEnd w:id="62"/>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869" w:type="dxa"/>
            <w:vAlign w:val="center"/>
          </w:tcPr>
          <w:p>
            <w:pPr>
              <w:jc w:val="center"/>
              <w:rPr>
                <w:sz w:val="21"/>
                <w:szCs w:val="21"/>
              </w:rPr>
            </w:pPr>
            <w:r>
              <w:rPr>
                <w:rFonts w:hint="eastAsia"/>
                <w:sz w:val="21"/>
                <w:szCs w:val="22"/>
              </w:rPr>
              <w:t>本专业</w:t>
            </w:r>
          </w:p>
        </w:tc>
        <w:tc>
          <w:tcPr>
            <w:tcW w:w="1643" w:type="dxa"/>
            <w:vAlign w:val="center"/>
          </w:tcPr>
          <w:p>
            <w:pPr>
              <w:jc w:val="center"/>
              <w:rPr>
                <w:sz w:val="21"/>
                <w:szCs w:val="21"/>
              </w:rPr>
            </w:pPr>
            <w:r>
              <w:rPr>
                <w:sz w:val="21"/>
                <w:szCs w:val="21"/>
              </w:rPr>
              <w:t>9</w:t>
            </w:r>
          </w:p>
        </w:tc>
        <w:tc>
          <w:tcPr>
            <w:tcW w:w="1786" w:type="dxa"/>
            <w:vAlign w:val="center"/>
          </w:tcPr>
          <w:p>
            <w:pPr>
              <w:jc w:val="center"/>
              <w:rPr>
                <w:sz w:val="21"/>
                <w:szCs w:val="21"/>
              </w:rPr>
            </w:pPr>
            <w:r>
              <w:rPr>
                <w:sz w:val="21"/>
                <w:szCs w:val="21"/>
              </w:rPr>
              <w:t>13.64</w:t>
            </w:r>
          </w:p>
        </w:tc>
        <w:tc>
          <w:tcPr>
            <w:tcW w:w="1929" w:type="dxa"/>
            <w:vAlign w:val="center"/>
          </w:tcPr>
          <w:p>
            <w:pPr>
              <w:jc w:val="center"/>
              <w:rPr>
                <w:sz w:val="21"/>
                <w:szCs w:val="21"/>
              </w:rPr>
            </w:pPr>
            <w:r>
              <w:rPr>
                <w:sz w:val="21"/>
                <w:szCs w:val="21"/>
              </w:rPr>
              <w:t>7</w:t>
            </w:r>
            <w:bookmarkStart w:id="63" w:name="OLE_LINK41"/>
            <w:bookmarkEnd w:id="63"/>
          </w:p>
        </w:tc>
        <w:tc>
          <w:tcPr>
            <w:tcW w:w="2071" w:type="dxa"/>
            <w:vAlign w:val="center"/>
          </w:tcPr>
          <w:p>
            <w:pPr>
              <w:jc w:val="center"/>
              <w:rPr>
                <w:sz w:val="21"/>
                <w:szCs w:val="21"/>
              </w:rPr>
            </w:pPr>
            <w:r>
              <w:rPr>
                <w:sz w:val="21"/>
                <w:szCs w:val="21"/>
              </w:rPr>
              <w:t>17.95</w:t>
            </w:r>
          </w:p>
        </w:tc>
      </w:tr>
      <w:tr>
        <w:tc>
          <w:tcPr>
            <w:tcW w:w="869" w:type="dxa"/>
            <w:vAlign w:val="center"/>
          </w:tcPr>
          <w:p>
            <w:pPr>
              <w:jc w:val="center"/>
              <w:rPr>
                <w:sz w:val="21"/>
                <w:szCs w:val="21"/>
              </w:rPr>
            </w:pPr>
            <w:r>
              <w:rPr>
                <w:rFonts w:hint="eastAsia"/>
                <w:sz w:val="21"/>
                <w:szCs w:val="22"/>
              </w:rPr>
              <w:t>本学院外专业</w:t>
            </w:r>
          </w:p>
        </w:tc>
        <w:tc>
          <w:tcPr>
            <w:tcW w:w="1643" w:type="dxa"/>
            <w:vAlign w:val="center"/>
          </w:tcPr>
          <w:p>
            <w:pPr>
              <w:jc w:val="center"/>
              <w:rPr>
                <w:sz w:val="21"/>
                <w:szCs w:val="21"/>
              </w:rPr>
            </w:pPr>
            <w:r>
              <w:rPr>
                <w:sz w:val="21"/>
                <w:szCs w:val="21"/>
              </w:rPr>
              <w:t>41</w:t>
            </w:r>
          </w:p>
        </w:tc>
        <w:tc>
          <w:tcPr>
            <w:tcW w:w="1786" w:type="dxa"/>
            <w:vAlign w:val="center"/>
          </w:tcPr>
          <w:p>
            <w:pPr>
              <w:jc w:val="center"/>
              <w:rPr>
                <w:sz w:val="21"/>
                <w:szCs w:val="21"/>
              </w:rPr>
            </w:pPr>
            <w:r>
              <w:rPr>
                <w:sz w:val="21"/>
                <w:szCs w:val="21"/>
              </w:rPr>
              <w:t>62.12</w:t>
            </w:r>
          </w:p>
        </w:tc>
        <w:tc>
          <w:tcPr>
            <w:tcW w:w="1929" w:type="dxa"/>
            <w:vAlign w:val="center"/>
          </w:tcPr>
          <w:p>
            <w:pPr>
              <w:jc w:val="center"/>
              <w:rPr>
                <w:sz w:val="21"/>
                <w:szCs w:val="21"/>
              </w:rPr>
            </w:pPr>
            <w:r>
              <w:rPr>
                <w:sz w:val="21"/>
                <w:szCs w:val="21"/>
              </w:rPr>
              <w:t>30</w:t>
            </w:r>
          </w:p>
        </w:tc>
        <w:tc>
          <w:tcPr>
            <w:tcW w:w="2071" w:type="dxa"/>
            <w:vAlign w:val="center"/>
          </w:tcPr>
          <w:p>
            <w:pPr>
              <w:jc w:val="center"/>
              <w:rPr>
                <w:sz w:val="21"/>
                <w:szCs w:val="21"/>
              </w:rPr>
            </w:pPr>
            <w:r>
              <w:rPr>
                <w:sz w:val="21"/>
                <w:szCs w:val="21"/>
              </w:rPr>
              <w:t>76.92</w:t>
            </w:r>
          </w:p>
        </w:tc>
      </w:tr>
      <w:tr>
        <w:tc>
          <w:tcPr>
            <w:tcW w:w="869" w:type="dxa"/>
            <w:vAlign w:val="center"/>
          </w:tcPr>
          <w:p>
            <w:pPr>
              <w:jc w:val="center"/>
              <w:rPr>
                <w:sz w:val="21"/>
                <w:szCs w:val="21"/>
              </w:rPr>
            </w:pPr>
            <w:r>
              <w:rPr>
                <w:rFonts w:hint="eastAsia"/>
                <w:sz w:val="21"/>
                <w:szCs w:val="22"/>
              </w:rPr>
              <w:t>校内其他单位</w:t>
            </w:r>
          </w:p>
        </w:tc>
        <w:tc>
          <w:tcPr>
            <w:tcW w:w="1643" w:type="dxa"/>
            <w:vAlign w:val="center"/>
          </w:tcPr>
          <w:p>
            <w:pPr>
              <w:jc w:val="center"/>
              <w:rPr>
                <w:sz w:val="21"/>
                <w:szCs w:val="21"/>
              </w:rPr>
            </w:pPr>
            <w:r>
              <w:rPr>
                <w:sz w:val="21"/>
                <w:szCs w:val="21"/>
              </w:rPr>
              <w:t>16</w:t>
            </w:r>
          </w:p>
        </w:tc>
        <w:tc>
          <w:tcPr>
            <w:tcW w:w="1786" w:type="dxa"/>
            <w:vAlign w:val="center"/>
          </w:tcPr>
          <w:p>
            <w:pPr>
              <w:jc w:val="center"/>
              <w:rPr>
                <w:sz w:val="21"/>
                <w:szCs w:val="21"/>
              </w:rPr>
            </w:pPr>
            <w:r>
              <w:rPr>
                <w:sz w:val="21"/>
                <w:szCs w:val="21"/>
              </w:rPr>
              <w:t>24.24</w:t>
            </w:r>
          </w:p>
        </w:tc>
        <w:tc>
          <w:tcPr>
            <w:tcW w:w="1929" w:type="dxa"/>
            <w:vAlign w:val="center"/>
          </w:tcPr>
          <w:p>
            <w:pPr>
              <w:jc w:val="center"/>
              <w:rPr>
                <w:sz w:val="21"/>
                <w:szCs w:val="21"/>
              </w:rPr>
            </w:pPr>
            <w:r>
              <w:rPr>
                <w:sz w:val="21"/>
                <w:szCs w:val="21"/>
              </w:rPr>
              <w:t>2</w:t>
            </w:r>
          </w:p>
        </w:tc>
        <w:tc>
          <w:tcPr>
            <w:tcW w:w="2071" w:type="dxa"/>
            <w:vAlign w:val="center"/>
          </w:tcPr>
          <w:p>
            <w:pPr>
              <w:jc w:val="center"/>
              <w:rPr>
                <w:sz w:val="21"/>
                <w:szCs w:val="21"/>
              </w:rPr>
            </w:pPr>
            <w:r>
              <w:rPr>
                <w:sz w:val="21"/>
                <w:szCs w:val="21"/>
              </w:rPr>
              <w:t>5.13</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tbl>
      <w:tblPr>
        <w:tblStyle w:val="1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4</w:t>
            </w:r>
          </w:p>
        </w:tc>
        <w:tc>
          <w:tcPr>
            <w:tcW w:w="2212" w:type="dxa"/>
            <w:vAlign w:val="center"/>
          </w:tcPr>
          <w:p>
            <w:pPr>
              <w:jc w:val="center"/>
              <w:rPr>
                <w:sz w:val="21"/>
                <w:szCs w:val="21"/>
              </w:rPr>
            </w:pPr>
            <w:r>
              <w:rPr>
                <w:rFonts w:hint="eastAsia"/>
                <w:sz w:val="21"/>
                <w:szCs w:val="21"/>
              </w:rPr>
              <w:t>/</w:t>
            </w:r>
          </w:p>
        </w:tc>
      </w:tr>
      <w:tr>
        <w:trPr>
          <w:cantSplit/>
        </w:trPr>
        <w:tc>
          <w:tcPr>
            <w:tcW w:w="1265" w:type="dxa"/>
            <w:vMerge w:val="restart"/>
            <w:vAlign w:val="center"/>
          </w:tcPr>
          <w:p>
            <w:pPr>
              <w:jc w:val="center"/>
              <w:rPr>
                <w:sz w:val="21"/>
                <w:szCs w:val="21"/>
              </w:rPr>
            </w:pPr>
            <w:bookmarkStart w:id="64" w:name="OLE_LINK42"/>
            <w:r>
              <w:rPr>
                <w:rFonts w:hint="eastAsia"/>
                <w:sz w:val="21"/>
                <w:szCs w:val="21"/>
              </w:rPr>
              <w:t>职称</w:t>
            </w:r>
            <w:bookmarkEnd w:id="64"/>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bookmarkStart w:id="65" w:name="OLE_LINK43"/>
            <w:bookmarkEnd w:id="65"/>
            <w:r>
              <w:rPr>
                <w:rFonts w:hint="eastAsia"/>
                <w:sz w:val="21"/>
                <w:szCs w:val="21"/>
                <w:lang w:val="en-US" w:eastAsia="zh-CN"/>
              </w:rPr>
              <w:t>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6" w:name="OLE_LINK44"/>
            <w:bookmarkEnd w:id="66"/>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sz w:val="21"/>
                <w:szCs w:val="21"/>
              </w:rPr>
            </w:pPr>
            <w:r>
              <w:rPr>
                <w:rFonts w:hint="eastAsia"/>
                <w:sz w:val="21"/>
                <w:szCs w:val="21"/>
                <w:lang w:val="en-US" w:eastAsia="zh-CN"/>
              </w:rPr>
              <w:t>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sz w:val="21"/>
                <w:szCs w:val="21"/>
              </w:rPr>
            </w:pPr>
            <w:r>
              <w:rPr>
                <w:rFonts w:hint="eastAsia"/>
                <w:sz w:val="21"/>
                <w:szCs w:val="21"/>
                <w:lang w:val="en-US" w:eastAsia="zh-CN"/>
              </w:rPr>
              <w:t>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sz w:val="21"/>
                <w:szCs w:val="21"/>
              </w:rPr>
            </w:pPr>
            <w:r>
              <w:rPr>
                <w:rFonts w:hint="eastAsia"/>
                <w:sz w:val="21"/>
                <w:szCs w:val="21"/>
                <w:lang w:val="en-US" w:eastAsia="zh-CN"/>
              </w:rPr>
              <w:t>25%</w:t>
            </w:r>
          </w:p>
        </w:tc>
      </w:tr>
      <w:tr>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50%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50%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4"/>
        <w:rPr>
          <w:rFonts w:ascii="宋体" w:hAnsi="宋体" w:eastAsia="宋体"/>
          <w:b w:val="0"/>
          <w:bCs w:val="0"/>
          <w:sz w:val="24"/>
          <w:szCs w:val="24"/>
        </w:rPr>
      </w:pPr>
      <w:bookmarkStart w:id="67" w:name="_Toc160195582"/>
      <w:r>
        <w:rPr>
          <w:rFonts w:ascii="宋体" w:hAnsi="宋体" w:eastAsia="宋体"/>
          <w:b w:val="0"/>
          <w:bCs w:val="0"/>
          <w:sz w:val="24"/>
          <w:szCs w:val="24"/>
        </w:rPr>
        <w:t>4.3</w:t>
      </w:r>
      <w:bookmarkStart w:id="68" w:name="OLE_LINK45"/>
      <w:r>
        <w:rPr>
          <w:rFonts w:hint="eastAsia" w:ascii="宋体" w:hAnsi="宋体" w:eastAsia="宋体"/>
          <w:b w:val="0"/>
          <w:bCs w:val="0"/>
          <w:sz w:val="24"/>
          <w:szCs w:val="24"/>
        </w:rPr>
        <w:t>教师教学</w:t>
      </w:r>
      <w:bookmarkEnd w:id="68"/>
      <w:r>
        <w:rPr>
          <w:rFonts w:hint="eastAsia" w:ascii="宋体" w:hAnsi="宋体" w:eastAsia="宋体"/>
          <w:b w:val="0"/>
          <w:bCs w:val="0"/>
          <w:sz w:val="24"/>
          <w:szCs w:val="24"/>
        </w:rPr>
        <w:t>科研情况</w:t>
      </w:r>
      <w:bookmarkEnd w:id="67"/>
      <w:r>
        <w:rPr>
          <w:rFonts w:hint="eastAsia" w:ascii="宋体" w:hAnsi="宋体" w:eastAsia="宋体"/>
          <w:b w:val="0"/>
          <w:bCs w:val="0"/>
          <w:sz w:val="24"/>
          <w:szCs w:val="24"/>
        </w:rPr>
        <w:t xml:space="preserve"> </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c>
          <w:tcPr>
            <w:tcW w:w="1838" w:type="dxa"/>
            <w:vAlign w:val="center"/>
          </w:tcPr>
          <w:p>
            <w:pPr>
              <w:jc w:val="center"/>
              <w:rPr>
                <w:sz w:val="21"/>
                <w:szCs w:val="21"/>
              </w:rPr>
            </w:pPr>
            <w:r>
              <w:rPr>
                <w:rFonts w:hint="eastAsia"/>
                <w:sz w:val="21"/>
                <w:szCs w:val="21"/>
              </w:rPr>
              <w:t>类别</w:t>
            </w:r>
          </w:p>
        </w:tc>
        <w:tc>
          <w:tcPr>
            <w:tcW w:w="2552" w:type="dxa"/>
            <w:vAlign w:val="center"/>
          </w:tcPr>
          <w:p>
            <w:pPr>
              <w:jc w:val="center"/>
              <w:rPr>
                <w:sz w:val="21"/>
                <w:szCs w:val="21"/>
              </w:rPr>
            </w:pPr>
            <w:r>
              <w:rPr>
                <w:rFonts w:hint="eastAsia"/>
                <w:sz w:val="21"/>
                <w:szCs w:val="21"/>
              </w:rPr>
              <w:t>项目数</w:t>
            </w:r>
          </w:p>
        </w:tc>
        <w:tc>
          <w:tcPr>
            <w:tcW w:w="1559" w:type="dxa"/>
            <w:vAlign w:val="center"/>
          </w:tcPr>
          <w:p>
            <w:pPr>
              <w:jc w:val="center"/>
              <w:rPr>
                <w:sz w:val="21"/>
                <w:szCs w:val="21"/>
              </w:rPr>
            </w:pPr>
            <w:r>
              <w:rPr>
                <w:rFonts w:hint="eastAsia"/>
                <w:sz w:val="21"/>
                <w:szCs w:val="21"/>
              </w:rPr>
              <w:t>经费（万元）</w:t>
            </w:r>
          </w:p>
        </w:tc>
        <w:tc>
          <w:tcPr>
            <w:tcW w:w="2347" w:type="dxa"/>
            <w:vAlign w:val="center"/>
          </w:tcPr>
          <w:p>
            <w:pPr>
              <w:jc w:val="center"/>
              <w:rPr>
                <w:sz w:val="21"/>
                <w:szCs w:val="21"/>
              </w:rPr>
            </w:pPr>
            <w:r>
              <w:rPr>
                <w:rFonts w:hint="eastAsia"/>
                <w:sz w:val="21"/>
                <w:szCs w:val="21"/>
              </w:rPr>
              <w:t>参与教师数（人次）</w:t>
            </w:r>
          </w:p>
        </w:tc>
      </w:tr>
      <w:tr>
        <w:tc>
          <w:tcPr>
            <w:tcW w:w="1838" w:type="dxa"/>
            <w:vAlign w:val="center"/>
          </w:tcPr>
          <w:p>
            <w:pPr>
              <w:jc w:val="center"/>
              <w:rPr>
                <w:sz w:val="21"/>
                <w:szCs w:val="21"/>
              </w:rPr>
            </w:pPr>
            <w:r>
              <w:rPr>
                <w:rFonts w:hint="eastAsia"/>
                <w:sz w:val="21"/>
                <w:szCs w:val="22"/>
              </w:rPr>
              <w:t>国家级</w:t>
            </w:r>
          </w:p>
        </w:tc>
        <w:tc>
          <w:tcPr>
            <w:tcW w:w="2552" w:type="dxa"/>
            <w:vAlign w:val="center"/>
          </w:tcPr>
          <w:p>
            <w:pPr>
              <w:jc w:val="center"/>
              <w:rPr>
                <w:sz w:val="21"/>
                <w:szCs w:val="21"/>
              </w:rPr>
            </w:pPr>
            <w:r>
              <w:rPr>
                <w:sz w:val="21"/>
                <w:szCs w:val="21"/>
              </w:rPr>
              <w:t>0</w:t>
            </w:r>
            <w:bookmarkStart w:id="69" w:name="OLE_LINK46"/>
            <w:bookmarkEnd w:id="69"/>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r>
        <w:tc>
          <w:tcPr>
            <w:tcW w:w="1838" w:type="dxa"/>
            <w:vAlign w:val="center"/>
          </w:tcPr>
          <w:p>
            <w:pPr>
              <w:jc w:val="center"/>
              <w:rPr>
                <w:sz w:val="21"/>
                <w:szCs w:val="21"/>
              </w:rPr>
            </w:pPr>
            <w:r>
              <w:rPr>
                <w:rFonts w:hint="eastAsia"/>
                <w:sz w:val="21"/>
                <w:szCs w:val="22"/>
              </w:rPr>
              <w:t>省部级</w:t>
            </w:r>
          </w:p>
        </w:tc>
        <w:tc>
          <w:tcPr>
            <w:tcW w:w="2552" w:type="dxa"/>
            <w:vAlign w:val="center"/>
          </w:tcPr>
          <w:p>
            <w:pPr>
              <w:jc w:val="center"/>
              <w:rPr>
                <w:sz w:val="21"/>
                <w:szCs w:val="21"/>
              </w:rPr>
            </w:pPr>
            <w:r>
              <w:rPr>
                <w:sz w:val="21"/>
                <w:szCs w:val="21"/>
              </w:rPr>
              <w:t>0</w:t>
            </w:r>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542"/>
        <w:gridCol w:w="1581"/>
        <w:gridCol w:w="1553"/>
        <w:gridCol w:w="1352"/>
      </w:tblGrid>
      <w:tr>
        <w:tc>
          <w:tcPr>
            <w:tcW w:w="1268" w:type="dxa"/>
          </w:tcPr>
          <w:p>
            <w:pPr>
              <w:jc w:val="center"/>
              <w:rPr>
                <w:sz w:val="21"/>
                <w:szCs w:val="21"/>
              </w:rPr>
            </w:pPr>
            <w:r>
              <w:rPr>
                <w:rFonts w:hint="eastAsia"/>
                <w:sz w:val="21"/>
                <w:szCs w:val="21"/>
              </w:rPr>
              <w:t>教师姓名</w:t>
            </w:r>
          </w:p>
        </w:tc>
        <w:tc>
          <w:tcPr>
            <w:tcW w:w="2542" w:type="dxa"/>
          </w:tcPr>
          <w:p>
            <w:pPr>
              <w:jc w:val="center"/>
              <w:rPr>
                <w:sz w:val="21"/>
                <w:szCs w:val="21"/>
              </w:rPr>
            </w:pPr>
            <w:r>
              <w:rPr>
                <w:rFonts w:hint="eastAsia"/>
                <w:sz w:val="21"/>
                <w:szCs w:val="21"/>
              </w:rPr>
              <w:t>教材名称</w:t>
            </w:r>
          </w:p>
        </w:tc>
        <w:tc>
          <w:tcPr>
            <w:tcW w:w="1581" w:type="dxa"/>
          </w:tcPr>
          <w:p>
            <w:pPr>
              <w:jc w:val="center"/>
              <w:rPr>
                <w:sz w:val="21"/>
                <w:szCs w:val="21"/>
              </w:rPr>
            </w:pPr>
            <w:r>
              <w:rPr>
                <w:rFonts w:hint="eastAsia"/>
                <w:sz w:val="21"/>
                <w:szCs w:val="21"/>
              </w:rPr>
              <w:t>I</w:t>
            </w:r>
            <w:r>
              <w:rPr>
                <w:sz w:val="21"/>
                <w:szCs w:val="21"/>
              </w:rPr>
              <w:t>SBN</w:t>
            </w:r>
          </w:p>
        </w:tc>
        <w:tc>
          <w:tcPr>
            <w:tcW w:w="1553" w:type="dxa"/>
          </w:tcPr>
          <w:p>
            <w:pPr>
              <w:jc w:val="center"/>
              <w:rPr>
                <w:sz w:val="21"/>
                <w:szCs w:val="21"/>
              </w:rPr>
            </w:pPr>
            <w:r>
              <w:rPr>
                <w:rFonts w:hint="eastAsia"/>
                <w:sz w:val="21"/>
                <w:szCs w:val="21"/>
              </w:rPr>
              <w:t>出版社</w:t>
            </w:r>
          </w:p>
        </w:tc>
        <w:tc>
          <w:tcPr>
            <w:tcW w:w="1352" w:type="dxa"/>
          </w:tcPr>
          <w:p>
            <w:pPr>
              <w:jc w:val="center"/>
              <w:rPr>
                <w:sz w:val="21"/>
                <w:szCs w:val="21"/>
              </w:rPr>
            </w:pPr>
            <w:r>
              <w:rPr>
                <w:rFonts w:hint="eastAsia"/>
                <w:sz w:val="21"/>
                <w:szCs w:val="21"/>
              </w:rPr>
              <w:t>出版时间</w:t>
            </w:r>
          </w:p>
        </w:tc>
      </w:tr>
      <w:tr>
        <w:tc>
          <w:tcPr>
            <w:tcW w:w="1268" w:type="dxa"/>
          </w:tcPr>
          <w:p>
            <w:pPr>
              <w:jc w:val="center"/>
              <w:rPr>
                <w:rFonts w:hint="eastAsia"/>
                <w:sz w:val="21"/>
                <w:szCs w:val="21"/>
              </w:rPr>
            </w:pPr>
            <w:r>
              <w:rPr>
                <w:rFonts w:hint="eastAsia"/>
                <w:sz w:val="21"/>
                <w:szCs w:val="21"/>
              </w:rPr>
              <w:t>张强</w:t>
            </w:r>
          </w:p>
        </w:tc>
        <w:tc>
          <w:tcPr>
            <w:tcW w:w="2542" w:type="dxa"/>
          </w:tcPr>
          <w:p>
            <w:pPr>
              <w:jc w:val="center"/>
              <w:rPr>
                <w:rFonts w:hint="eastAsia"/>
                <w:sz w:val="21"/>
                <w:szCs w:val="21"/>
              </w:rPr>
            </w:pPr>
            <w:r>
              <w:rPr>
                <w:rFonts w:hint="eastAsia"/>
                <w:sz w:val="21"/>
                <w:szCs w:val="21"/>
              </w:rPr>
              <w:t>空间异质性、人口分布与资源配置</w:t>
            </w:r>
            <w:r>
              <w:rPr>
                <w:sz w:val="21"/>
                <w:szCs w:val="21"/>
              </w:rPr>
              <w:t>--上海老年人口与健康资源匹配的理论与实践</w:t>
            </w:r>
          </w:p>
        </w:tc>
        <w:tc>
          <w:tcPr>
            <w:tcW w:w="1581" w:type="dxa"/>
          </w:tcPr>
          <w:p>
            <w:pPr>
              <w:jc w:val="center"/>
              <w:rPr>
                <w:rFonts w:hint="eastAsia"/>
                <w:sz w:val="21"/>
                <w:szCs w:val="21"/>
              </w:rPr>
            </w:pPr>
            <w:r>
              <w:rPr>
                <w:sz w:val="21"/>
                <w:szCs w:val="21"/>
              </w:rPr>
              <w:t>9787313287915</w:t>
            </w:r>
          </w:p>
        </w:tc>
        <w:tc>
          <w:tcPr>
            <w:tcW w:w="1553" w:type="dxa"/>
          </w:tcPr>
          <w:p>
            <w:pPr>
              <w:jc w:val="center"/>
              <w:rPr>
                <w:rFonts w:hint="eastAsia"/>
                <w:sz w:val="21"/>
                <w:szCs w:val="21"/>
              </w:rPr>
            </w:pPr>
            <w:r>
              <w:rPr>
                <w:rFonts w:hint="eastAsia"/>
                <w:sz w:val="21"/>
                <w:szCs w:val="21"/>
              </w:rPr>
              <w:t>上海交通大学出版社</w:t>
            </w:r>
          </w:p>
        </w:tc>
        <w:tc>
          <w:tcPr>
            <w:tcW w:w="1352" w:type="dxa"/>
          </w:tcPr>
          <w:p>
            <w:pPr>
              <w:jc w:val="center"/>
              <w:rPr>
                <w:rFonts w:hint="eastAsia"/>
                <w:sz w:val="21"/>
                <w:szCs w:val="21"/>
              </w:rPr>
            </w:pPr>
            <w:r>
              <w:rPr>
                <w:rFonts w:hint="eastAsia"/>
                <w:sz w:val="21"/>
                <w:szCs w:val="21"/>
              </w:rPr>
              <w:t>2023.6</w:t>
            </w:r>
          </w:p>
        </w:tc>
      </w:tr>
    </w:tbl>
    <w:p>
      <w:pPr>
        <w:pStyle w:val="5"/>
        <w:spacing w:before="0" w:after="0"/>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w:t>
      </w:r>
      <w:r>
        <w:rPr>
          <w:rFonts w:hint="eastAsia" w:ascii="宋体" w:hAnsi="宋体" w:eastAsia="宋体" w:cstheme="minorBidi"/>
          <w:b w:val="0"/>
          <w:bCs w:val="0"/>
          <w:kern w:val="2"/>
          <w:sz w:val="24"/>
          <w:szCs w:val="24"/>
        </w:rPr>
        <w:t>3</w:t>
      </w:r>
      <w:r>
        <w:rPr>
          <w:rFonts w:ascii="宋体" w:hAnsi="宋体" w:eastAsia="宋体" w:cstheme="minorBidi"/>
          <w:b w:val="0"/>
          <w:bCs w:val="0"/>
          <w:kern w:val="2"/>
          <w:sz w:val="24"/>
          <w:szCs w:val="24"/>
        </w:rPr>
        <w:t>教师</w:t>
      </w:r>
      <w:r>
        <w:rPr>
          <w:rFonts w:hint="eastAsia" w:ascii="宋体" w:hAnsi="宋体" w:eastAsia="宋体" w:cstheme="minorBidi"/>
          <w:b w:val="0"/>
          <w:bCs w:val="0"/>
          <w:kern w:val="2"/>
          <w:sz w:val="24"/>
          <w:szCs w:val="24"/>
        </w:rPr>
        <w:t>承担科研项目</w:t>
      </w:r>
      <w:r>
        <w:rPr>
          <w:rFonts w:ascii="宋体" w:hAnsi="宋体" w:eastAsia="宋体" w:cstheme="minorBidi"/>
          <w:b w:val="0"/>
          <w:bCs w:val="0"/>
          <w:kern w:val="2"/>
          <w:sz w:val="24"/>
          <w:szCs w:val="24"/>
        </w:rPr>
        <w:t>情况</w:t>
      </w:r>
    </w:p>
    <w:p>
      <w:pPr>
        <w:pStyle w:val="26"/>
        <w:tabs>
          <w:tab w:val="left" w:pos="681"/>
        </w:tabs>
        <w:adjustRightInd w:val="0"/>
        <w:snapToGrid w:val="0"/>
        <w:spacing w:before="0" w:beforeAutospacing="0" w:after="0" w:afterAutospacing="0" w:line="360" w:lineRule="auto"/>
        <w:ind w:firstLine="480" w:firstLineChars="200"/>
        <w:rPr>
          <w:rFonts w:hint="eastAsia"/>
        </w:rPr>
      </w:pPr>
      <w:r>
        <w:rPr>
          <w:rFonts w:hint="eastAsia"/>
        </w:rPr>
        <w:t>专业教师在2022-2023年度承担纵向课题5项，其中，国家级项目1项，省部级项目4项。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3828"/>
        <w:gridCol w:w="1275"/>
        <w:gridCol w:w="1497"/>
      </w:tblGrid>
      <w:tr>
        <w:tc>
          <w:tcPr>
            <w:tcW w:w="704" w:type="dxa"/>
            <w:vAlign w:val="center"/>
          </w:tcPr>
          <w:p>
            <w:pPr>
              <w:jc w:val="center"/>
              <w:rPr>
                <w:sz w:val="21"/>
                <w:szCs w:val="21"/>
              </w:rPr>
            </w:pPr>
            <w:r>
              <w:rPr>
                <w:rFonts w:hint="eastAsia"/>
                <w:sz w:val="21"/>
                <w:szCs w:val="21"/>
              </w:rPr>
              <w:t>序号</w:t>
            </w:r>
          </w:p>
        </w:tc>
        <w:tc>
          <w:tcPr>
            <w:tcW w:w="992" w:type="dxa"/>
            <w:vAlign w:val="center"/>
          </w:tcPr>
          <w:p>
            <w:pPr>
              <w:jc w:val="center"/>
              <w:rPr>
                <w:sz w:val="21"/>
                <w:szCs w:val="21"/>
              </w:rPr>
            </w:pPr>
            <w:r>
              <w:rPr>
                <w:rFonts w:hint="eastAsia"/>
                <w:sz w:val="21"/>
                <w:szCs w:val="21"/>
              </w:rPr>
              <w:t>负责人</w:t>
            </w:r>
          </w:p>
        </w:tc>
        <w:tc>
          <w:tcPr>
            <w:tcW w:w="3828" w:type="dxa"/>
            <w:vAlign w:val="center"/>
          </w:tcPr>
          <w:p>
            <w:pPr>
              <w:jc w:val="center"/>
              <w:rPr>
                <w:sz w:val="21"/>
                <w:szCs w:val="21"/>
              </w:rPr>
            </w:pPr>
            <w:r>
              <w:rPr>
                <w:rFonts w:hint="eastAsia"/>
                <w:sz w:val="21"/>
                <w:szCs w:val="21"/>
              </w:rPr>
              <w:t>项目名称</w:t>
            </w:r>
          </w:p>
        </w:tc>
        <w:tc>
          <w:tcPr>
            <w:tcW w:w="1275" w:type="dxa"/>
            <w:vAlign w:val="center"/>
          </w:tcPr>
          <w:p>
            <w:pPr>
              <w:jc w:val="center"/>
              <w:rPr>
                <w:sz w:val="21"/>
                <w:szCs w:val="21"/>
              </w:rPr>
            </w:pPr>
            <w:r>
              <w:rPr>
                <w:rFonts w:hint="eastAsia"/>
                <w:sz w:val="21"/>
                <w:szCs w:val="21"/>
              </w:rPr>
              <w:t>项目级别</w:t>
            </w:r>
          </w:p>
        </w:tc>
        <w:tc>
          <w:tcPr>
            <w:tcW w:w="1497" w:type="dxa"/>
            <w:vAlign w:val="center"/>
          </w:tcPr>
          <w:p>
            <w:pPr>
              <w:jc w:val="center"/>
              <w:rPr>
                <w:sz w:val="21"/>
                <w:szCs w:val="21"/>
              </w:rPr>
            </w:pPr>
            <w:r>
              <w:rPr>
                <w:rFonts w:hint="eastAsia"/>
                <w:sz w:val="21"/>
                <w:szCs w:val="21"/>
              </w:rPr>
              <w:t>经费</w:t>
            </w:r>
          </w:p>
          <w:p>
            <w:pPr>
              <w:jc w:val="center"/>
              <w:rPr>
                <w:sz w:val="21"/>
                <w:szCs w:val="21"/>
              </w:rPr>
            </w:pPr>
            <w:r>
              <w:rPr>
                <w:rFonts w:hint="eastAsia"/>
                <w:sz w:val="21"/>
                <w:szCs w:val="21"/>
              </w:rPr>
              <w:t>（万元）</w:t>
            </w:r>
          </w:p>
        </w:tc>
      </w:tr>
      <w:tr>
        <w:tc>
          <w:tcPr>
            <w:tcW w:w="704" w:type="dxa"/>
          </w:tcPr>
          <w:p>
            <w:pPr>
              <w:jc w:val="center"/>
              <w:rPr>
                <w:sz w:val="21"/>
                <w:szCs w:val="21"/>
              </w:rPr>
            </w:pPr>
            <w:r>
              <w:rPr>
                <w:rFonts w:hint="eastAsia"/>
                <w:sz w:val="21"/>
                <w:szCs w:val="21"/>
              </w:rPr>
              <w:t>1</w:t>
            </w:r>
          </w:p>
        </w:tc>
        <w:tc>
          <w:tcPr>
            <w:tcW w:w="992" w:type="dxa"/>
          </w:tcPr>
          <w:p>
            <w:pPr>
              <w:jc w:val="center"/>
              <w:rPr>
                <w:sz w:val="21"/>
                <w:szCs w:val="21"/>
              </w:rPr>
            </w:pPr>
            <w:r>
              <w:rPr>
                <w:rFonts w:hint="eastAsia"/>
                <w:sz w:val="21"/>
                <w:szCs w:val="21"/>
              </w:rPr>
              <w:t>沈勤</w:t>
            </w:r>
          </w:p>
        </w:tc>
        <w:tc>
          <w:tcPr>
            <w:tcW w:w="3828" w:type="dxa"/>
          </w:tcPr>
          <w:p>
            <w:pPr>
              <w:jc w:val="center"/>
              <w:rPr>
                <w:sz w:val="21"/>
                <w:szCs w:val="21"/>
              </w:rPr>
            </w:pPr>
            <w:r>
              <w:rPr>
                <w:rFonts w:hint="eastAsia"/>
                <w:sz w:val="21"/>
                <w:szCs w:val="21"/>
              </w:rPr>
              <w:t>我国机构养老服务的定价机制研究</w:t>
            </w:r>
          </w:p>
        </w:tc>
        <w:tc>
          <w:tcPr>
            <w:tcW w:w="1275" w:type="dxa"/>
          </w:tcPr>
          <w:p>
            <w:pPr>
              <w:jc w:val="center"/>
              <w:rPr>
                <w:sz w:val="21"/>
                <w:szCs w:val="21"/>
              </w:rPr>
            </w:pPr>
            <w:r>
              <w:rPr>
                <w:rFonts w:hint="eastAsia"/>
                <w:sz w:val="21"/>
                <w:szCs w:val="21"/>
              </w:rPr>
              <w:t>国家级</w:t>
            </w:r>
          </w:p>
        </w:tc>
        <w:tc>
          <w:tcPr>
            <w:tcW w:w="1497" w:type="dxa"/>
          </w:tcPr>
          <w:p>
            <w:pPr>
              <w:jc w:val="center"/>
              <w:rPr>
                <w:rFonts w:hint="eastAsia"/>
                <w:sz w:val="21"/>
                <w:szCs w:val="21"/>
              </w:rPr>
            </w:pPr>
            <w:r>
              <w:rPr>
                <w:rFonts w:hint="eastAsia"/>
                <w:sz w:val="21"/>
                <w:szCs w:val="21"/>
              </w:rPr>
              <w:t>20</w:t>
            </w:r>
          </w:p>
        </w:tc>
      </w:tr>
      <w:tr>
        <w:tc>
          <w:tcPr>
            <w:tcW w:w="704" w:type="dxa"/>
          </w:tcPr>
          <w:p>
            <w:pPr>
              <w:jc w:val="center"/>
              <w:rPr>
                <w:rFonts w:hint="eastAsia"/>
                <w:sz w:val="21"/>
                <w:szCs w:val="21"/>
              </w:rPr>
            </w:pPr>
            <w:r>
              <w:rPr>
                <w:rFonts w:hint="eastAsia"/>
                <w:sz w:val="21"/>
                <w:szCs w:val="21"/>
              </w:rPr>
              <w:t>2</w:t>
            </w:r>
          </w:p>
        </w:tc>
        <w:tc>
          <w:tcPr>
            <w:tcW w:w="992" w:type="dxa"/>
          </w:tcPr>
          <w:p>
            <w:pPr>
              <w:jc w:val="center"/>
              <w:rPr>
                <w:rFonts w:hint="eastAsia"/>
                <w:sz w:val="21"/>
                <w:szCs w:val="21"/>
              </w:rPr>
            </w:pPr>
            <w:r>
              <w:rPr>
                <w:rFonts w:hint="eastAsia"/>
                <w:sz w:val="21"/>
                <w:szCs w:val="21"/>
              </w:rPr>
              <w:t>沈世勇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上海“体医结合”发展思路与对策研究</w:t>
            </w:r>
          </w:p>
        </w:tc>
        <w:tc>
          <w:tcPr>
            <w:tcW w:w="1275" w:type="dxa"/>
          </w:tcPr>
          <w:p>
            <w:pPr>
              <w:jc w:val="center"/>
              <w:rPr>
                <w:sz w:val="21"/>
                <w:szCs w:val="21"/>
              </w:rPr>
            </w:pPr>
            <w:r>
              <w:rPr>
                <w:rFonts w:hint="eastAsia"/>
                <w:sz w:val="21"/>
                <w:szCs w:val="21"/>
              </w:rPr>
              <w:t>省部级</w:t>
            </w:r>
          </w:p>
        </w:tc>
        <w:tc>
          <w:tcPr>
            <w:tcW w:w="1497" w:type="dxa"/>
          </w:tcPr>
          <w:p>
            <w:pPr>
              <w:jc w:val="center"/>
              <w:rPr>
                <w:sz w:val="21"/>
                <w:szCs w:val="21"/>
              </w:rPr>
            </w:pPr>
            <w:r>
              <w:rPr>
                <w:rFonts w:hint="eastAsia"/>
                <w:sz w:val="21"/>
                <w:szCs w:val="21"/>
              </w:rPr>
              <w:t>8</w:t>
            </w:r>
          </w:p>
        </w:tc>
      </w:tr>
      <w:tr>
        <w:tc>
          <w:tcPr>
            <w:tcW w:w="704" w:type="dxa"/>
          </w:tcPr>
          <w:p>
            <w:pPr>
              <w:jc w:val="center"/>
              <w:rPr>
                <w:rFonts w:hint="eastAsia"/>
                <w:sz w:val="21"/>
                <w:szCs w:val="21"/>
              </w:rPr>
            </w:pPr>
            <w:r>
              <w:rPr>
                <w:rFonts w:hint="eastAsia"/>
                <w:sz w:val="21"/>
                <w:szCs w:val="21"/>
              </w:rPr>
              <w:t>3</w:t>
            </w:r>
          </w:p>
        </w:tc>
        <w:tc>
          <w:tcPr>
            <w:tcW w:w="992" w:type="dxa"/>
          </w:tcPr>
          <w:p>
            <w:pPr>
              <w:jc w:val="center"/>
              <w:rPr>
                <w:rFonts w:hint="eastAsia"/>
                <w:sz w:val="21"/>
                <w:szCs w:val="21"/>
              </w:rPr>
            </w:pPr>
            <w:r>
              <w:rPr>
                <w:rFonts w:hint="eastAsia"/>
                <w:sz w:val="21"/>
                <w:szCs w:val="21"/>
              </w:rPr>
              <w:t>张强</w:t>
            </w:r>
          </w:p>
        </w:tc>
        <w:tc>
          <w:tcPr>
            <w:tcW w:w="3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高校推进“三全育人”综合改革的评估指标体系研究</w:t>
            </w:r>
          </w:p>
        </w:tc>
        <w:tc>
          <w:tcPr>
            <w:tcW w:w="1275" w:type="dxa"/>
          </w:tcPr>
          <w:p>
            <w:pPr>
              <w:jc w:val="center"/>
              <w:rPr>
                <w:sz w:val="21"/>
                <w:szCs w:val="21"/>
              </w:rPr>
            </w:pPr>
            <w:r>
              <w:rPr>
                <w:rFonts w:hint="eastAsia"/>
                <w:sz w:val="21"/>
                <w:szCs w:val="21"/>
              </w:rPr>
              <w:t>省部级</w:t>
            </w:r>
          </w:p>
        </w:tc>
        <w:tc>
          <w:tcPr>
            <w:tcW w:w="1497" w:type="dxa"/>
          </w:tcPr>
          <w:p>
            <w:pPr>
              <w:jc w:val="center"/>
              <w:rPr>
                <w:sz w:val="21"/>
                <w:szCs w:val="21"/>
              </w:rPr>
            </w:pPr>
            <w:r>
              <w:rPr>
                <w:rFonts w:hint="eastAsia"/>
                <w:sz w:val="21"/>
                <w:szCs w:val="21"/>
              </w:rPr>
              <w:t>5</w:t>
            </w:r>
          </w:p>
        </w:tc>
      </w:tr>
      <w:tr>
        <w:tc>
          <w:tcPr>
            <w:tcW w:w="704" w:type="dxa"/>
          </w:tcPr>
          <w:p>
            <w:pPr>
              <w:jc w:val="center"/>
              <w:rPr>
                <w:rFonts w:hint="eastAsia"/>
                <w:sz w:val="21"/>
                <w:szCs w:val="21"/>
              </w:rPr>
            </w:pPr>
            <w:r>
              <w:rPr>
                <w:rFonts w:hint="eastAsia"/>
                <w:sz w:val="21"/>
                <w:szCs w:val="21"/>
              </w:rPr>
              <w:t>4</w:t>
            </w:r>
          </w:p>
        </w:tc>
        <w:tc>
          <w:tcPr>
            <w:tcW w:w="992" w:type="dxa"/>
          </w:tcPr>
          <w:p>
            <w:pPr>
              <w:jc w:val="center"/>
              <w:rPr>
                <w:rFonts w:hint="eastAsia"/>
                <w:sz w:val="21"/>
                <w:szCs w:val="21"/>
              </w:rPr>
            </w:pPr>
            <w:r>
              <w:rPr>
                <w:rFonts w:hint="eastAsia"/>
                <w:sz w:val="21"/>
                <w:szCs w:val="21"/>
              </w:rPr>
              <w:t>张强</w:t>
            </w:r>
          </w:p>
        </w:tc>
        <w:tc>
          <w:tcPr>
            <w:tcW w:w="3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上海形成全域创新格局的空间布局与</w:t>
            </w:r>
          </w:p>
          <w:p>
            <w:pPr>
              <w:jc w:val="center"/>
              <w:rPr>
                <w:sz w:val="21"/>
                <w:szCs w:val="21"/>
              </w:rPr>
            </w:pPr>
            <w:r>
              <w:rPr>
                <w:rFonts w:hint="eastAsia"/>
                <w:sz w:val="21"/>
                <w:szCs w:val="21"/>
              </w:rPr>
              <w:t>路径研究</w:t>
            </w:r>
          </w:p>
        </w:tc>
        <w:tc>
          <w:tcPr>
            <w:tcW w:w="1275" w:type="dxa"/>
          </w:tcPr>
          <w:p>
            <w:pPr>
              <w:jc w:val="center"/>
              <w:rPr>
                <w:sz w:val="21"/>
                <w:szCs w:val="21"/>
              </w:rPr>
            </w:pPr>
            <w:r>
              <w:rPr>
                <w:rFonts w:hint="eastAsia"/>
                <w:sz w:val="21"/>
                <w:szCs w:val="21"/>
              </w:rPr>
              <w:t>省部级</w:t>
            </w:r>
          </w:p>
        </w:tc>
        <w:tc>
          <w:tcPr>
            <w:tcW w:w="1497" w:type="dxa"/>
          </w:tcPr>
          <w:p>
            <w:pPr>
              <w:jc w:val="center"/>
              <w:rPr>
                <w:rFonts w:hint="eastAsia"/>
                <w:sz w:val="21"/>
                <w:szCs w:val="21"/>
              </w:rPr>
            </w:pPr>
            <w:r>
              <w:rPr>
                <w:rFonts w:hint="eastAsia"/>
                <w:sz w:val="21"/>
                <w:szCs w:val="21"/>
              </w:rPr>
              <w:t>20</w:t>
            </w:r>
          </w:p>
        </w:tc>
      </w:tr>
      <w:tr>
        <w:tc>
          <w:tcPr>
            <w:tcW w:w="704" w:type="dxa"/>
          </w:tcPr>
          <w:p>
            <w:pPr>
              <w:jc w:val="center"/>
              <w:rPr>
                <w:rFonts w:hint="eastAsia"/>
                <w:sz w:val="21"/>
                <w:szCs w:val="21"/>
              </w:rPr>
            </w:pPr>
            <w:r>
              <w:rPr>
                <w:rFonts w:hint="eastAsia"/>
                <w:sz w:val="21"/>
                <w:szCs w:val="21"/>
              </w:rPr>
              <w:t>5</w:t>
            </w:r>
          </w:p>
        </w:tc>
        <w:tc>
          <w:tcPr>
            <w:tcW w:w="992" w:type="dxa"/>
          </w:tcPr>
          <w:p>
            <w:pPr>
              <w:jc w:val="center"/>
              <w:rPr>
                <w:sz w:val="21"/>
                <w:szCs w:val="21"/>
              </w:rPr>
            </w:pPr>
            <w:r>
              <w:rPr>
                <w:rFonts w:hint="eastAsia"/>
                <w:sz w:val="21"/>
                <w:szCs w:val="21"/>
              </w:rPr>
              <w:t>黄妍妮</w:t>
            </w:r>
          </w:p>
        </w:tc>
        <w:tc>
          <w:tcPr>
            <w:tcW w:w="3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长三角城市群空间结构的演变特征与</w:t>
            </w:r>
          </w:p>
          <w:p>
            <w:pPr>
              <w:jc w:val="center"/>
              <w:rPr>
                <w:sz w:val="21"/>
                <w:szCs w:val="21"/>
              </w:rPr>
            </w:pPr>
            <w:r>
              <w:rPr>
                <w:rFonts w:hint="eastAsia"/>
                <w:sz w:val="21"/>
                <w:szCs w:val="21"/>
              </w:rPr>
              <w:t>影响因素研究</w:t>
            </w:r>
          </w:p>
        </w:tc>
        <w:tc>
          <w:tcPr>
            <w:tcW w:w="1275" w:type="dxa"/>
          </w:tcPr>
          <w:p>
            <w:pPr>
              <w:jc w:val="center"/>
              <w:rPr>
                <w:sz w:val="21"/>
                <w:szCs w:val="21"/>
              </w:rPr>
            </w:pPr>
            <w:r>
              <w:rPr>
                <w:rFonts w:hint="eastAsia"/>
                <w:sz w:val="21"/>
                <w:szCs w:val="21"/>
              </w:rPr>
              <w:t>省部级</w:t>
            </w:r>
          </w:p>
        </w:tc>
        <w:tc>
          <w:tcPr>
            <w:tcW w:w="1497" w:type="dxa"/>
          </w:tcPr>
          <w:p>
            <w:pPr>
              <w:jc w:val="center"/>
              <w:rPr>
                <w:sz w:val="21"/>
                <w:szCs w:val="21"/>
              </w:rPr>
            </w:pPr>
            <w:r>
              <w:rPr>
                <w:rFonts w:hint="eastAsia"/>
                <w:sz w:val="21"/>
                <w:szCs w:val="21"/>
              </w:rPr>
              <w:t>6</w:t>
            </w:r>
          </w:p>
        </w:tc>
      </w:tr>
    </w:tbl>
    <w:p>
      <w:pPr>
        <w:rPr>
          <w:rFonts w:hint="eastAsia"/>
        </w:rPr>
      </w:pPr>
    </w:p>
    <w:p>
      <w:bookmarkStart w:id="97" w:name="_GoBack"/>
      <w:bookmarkEnd w:id="97"/>
    </w:p>
    <w:p>
      <w:pPr>
        <w:pStyle w:val="3"/>
        <w:pageBreakBefore/>
        <w:spacing w:after="120" w:line="415" w:lineRule="auto"/>
        <w:jc w:val="left"/>
        <w:rPr>
          <w:rFonts w:ascii="宋体" w:hAnsi="宋体"/>
          <w:sz w:val="28"/>
          <w:szCs w:val="28"/>
        </w:rPr>
      </w:pPr>
      <w:bookmarkStart w:id="70" w:name="_Toc160195583"/>
      <w:r>
        <w:rPr>
          <w:rFonts w:ascii="宋体" w:hAnsi="宋体"/>
          <w:sz w:val="28"/>
          <w:szCs w:val="28"/>
        </w:rPr>
        <w:t>5.支持条件</w:t>
      </w:r>
      <w:bookmarkEnd w:id="70"/>
      <w:r>
        <w:rPr>
          <w:rFonts w:ascii="宋体" w:hAnsi="宋体"/>
          <w:sz w:val="28"/>
          <w:szCs w:val="28"/>
        </w:rPr>
        <w:t xml:space="preserve"> </w:t>
      </w:r>
    </w:p>
    <w:p>
      <w:pPr>
        <w:pStyle w:val="4"/>
        <w:rPr>
          <w:rFonts w:ascii="宋体" w:hAnsi="宋体" w:eastAsia="宋体"/>
          <w:b w:val="0"/>
          <w:bCs w:val="0"/>
          <w:sz w:val="24"/>
          <w:szCs w:val="24"/>
        </w:rPr>
      </w:pPr>
      <w:bookmarkStart w:id="71" w:name="_Toc160195584"/>
      <w:r>
        <w:rPr>
          <w:rFonts w:ascii="宋体" w:hAnsi="宋体" w:eastAsia="宋体"/>
          <w:b w:val="0"/>
          <w:bCs w:val="0"/>
          <w:sz w:val="24"/>
          <w:szCs w:val="24"/>
        </w:rPr>
        <w:t>5.1学校生均教学经费情况</w:t>
      </w:r>
      <w:bookmarkEnd w:id="7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72" w:name="OLE_LINK47"/>
            <w:bookmarkEnd w:id="72"/>
          </w:p>
        </w:tc>
      </w:tr>
      <w:tr>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3" w:name="OLE_LINK48"/>
            <w:bookmarkEnd w:id="73"/>
          </w:p>
        </w:tc>
      </w:tr>
      <w:tr>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4"/>
        <w:rPr>
          <w:rFonts w:ascii="宋体" w:hAnsi="宋体" w:eastAsia="宋体"/>
          <w:b w:val="0"/>
          <w:bCs w:val="0"/>
          <w:sz w:val="24"/>
          <w:szCs w:val="24"/>
        </w:rPr>
      </w:pPr>
      <w:bookmarkStart w:id="74" w:name="_Toc160195585"/>
      <w:r>
        <w:rPr>
          <w:rFonts w:ascii="宋体" w:hAnsi="宋体" w:eastAsia="宋体"/>
          <w:b w:val="0"/>
          <w:bCs w:val="0"/>
          <w:sz w:val="24"/>
          <w:szCs w:val="24"/>
        </w:rPr>
        <w:t>5.2支撑专业实验教学校内场所情况</w:t>
      </w:r>
      <w:bookmarkEnd w:id="7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c>
          <w:tcPr>
            <w:tcW w:w="1230" w:type="dxa"/>
            <w:vAlign w:val="center"/>
          </w:tcPr>
          <w:p>
            <w:pPr>
              <w:jc w:val="center"/>
              <w:rPr>
                <w:sz w:val="21"/>
                <w:szCs w:val="21"/>
              </w:rPr>
            </w:pPr>
            <w:r>
              <w:rPr>
                <w:rFonts w:hint="eastAsia"/>
                <w:sz w:val="21"/>
                <w:szCs w:val="21"/>
              </w:rPr>
              <w:t>项目</w:t>
            </w:r>
          </w:p>
        </w:tc>
        <w:tc>
          <w:tcPr>
            <w:tcW w:w="1229" w:type="dxa"/>
            <w:vAlign w:val="center"/>
          </w:tcPr>
          <w:p>
            <w:pPr>
              <w:jc w:val="center"/>
              <w:rPr>
                <w:sz w:val="21"/>
                <w:szCs w:val="21"/>
              </w:rPr>
            </w:pPr>
            <w:r>
              <w:rPr>
                <w:rFonts w:hint="eastAsia"/>
                <w:sz w:val="21"/>
                <w:szCs w:val="21"/>
              </w:rPr>
              <w:t>数量</w:t>
            </w:r>
          </w:p>
        </w:tc>
        <w:tc>
          <w:tcPr>
            <w:tcW w:w="1782" w:type="dxa"/>
            <w:vAlign w:val="center"/>
          </w:tcPr>
          <w:p>
            <w:pPr>
              <w:jc w:val="center"/>
              <w:rPr>
                <w:sz w:val="21"/>
                <w:szCs w:val="21"/>
              </w:rPr>
            </w:pPr>
            <w:r>
              <w:rPr>
                <w:rFonts w:hint="eastAsia"/>
                <w:sz w:val="21"/>
                <w:szCs w:val="21"/>
              </w:rPr>
              <w:t>承担实验课程门数</w:t>
            </w:r>
          </w:p>
        </w:tc>
        <w:tc>
          <w:tcPr>
            <w:tcW w:w="1229" w:type="dxa"/>
            <w:vAlign w:val="center"/>
          </w:tcPr>
          <w:p>
            <w:pPr>
              <w:jc w:val="center"/>
              <w:rPr>
                <w:sz w:val="21"/>
                <w:szCs w:val="21"/>
              </w:rPr>
            </w:pPr>
            <w:r>
              <w:rPr>
                <w:rFonts w:hint="eastAsia"/>
                <w:sz w:val="21"/>
                <w:szCs w:val="21"/>
              </w:rPr>
              <w:t>面积（平方米）</w:t>
            </w:r>
          </w:p>
        </w:tc>
        <w:tc>
          <w:tcPr>
            <w:tcW w:w="1505" w:type="dxa"/>
            <w:vAlign w:val="center"/>
          </w:tcPr>
          <w:p>
            <w:pPr>
              <w:jc w:val="center"/>
              <w:rPr>
                <w:sz w:val="21"/>
                <w:szCs w:val="21"/>
              </w:rPr>
            </w:pPr>
            <w:r>
              <w:rPr>
                <w:rFonts w:hint="eastAsia"/>
                <w:sz w:val="21"/>
                <w:szCs w:val="21"/>
              </w:rPr>
              <w:t>设备台套数</w:t>
            </w:r>
          </w:p>
        </w:tc>
        <w:tc>
          <w:tcPr>
            <w:tcW w:w="1321" w:type="dxa"/>
            <w:vAlign w:val="center"/>
          </w:tcPr>
          <w:p>
            <w:pPr>
              <w:jc w:val="center"/>
              <w:rPr>
                <w:sz w:val="21"/>
                <w:szCs w:val="21"/>
              </w:rPr>
            </w:pPr>
            <w:r>
              <w:rPr>
                <w:rFonts w:hint="eastAsia"/>
                <w:sz w:val="21"/>
                <w:szCs w:val="21"/>
              </w:rPr>
              <w:t>设备值（万元）</w:t>
            </w:r>
          </w:p>
        </w:tc>
      </w:tr>
      <w:tr>
        <w:tc>
          <w:tcPr>
            <w:tcW w:w="1230" w:type="dxa"/>
            <w:vAlign w:val="center"/>
          </w:tcPr>
          <w:p>
            <w:pPr>
              <w:jc w:val="center"/>
              <w:rPr>
                <w:sz w:val="20"/>
                <w:szCs w:val="20"/>
              </w:rPr>
            </w:pPr>
            <w:r>
              <w:rPr>
                <w:sz w:val="20"/>
                <w:szCs w:val="20"/>
              </w:rPr>
              <w:t>专业实验室</w:t>
            </w:r>
          </w:p>
        </w:tc>
        <w:tc>
          <w:tcPr>
            <w:tcW w:w="1229" w:type="dxa"/>
            <w:vAlign w:val="center"/>
          </w:tcPr>
          <w:p>
            <w:pPr>
              <w:jc w:val="center"/>
              <w:rPr>
                <w:sz w:val="20"/>
                <w:szCs w:val="20"/>
              </w:rPr>
            </w:pPr>
            <w:r>
              <w:rPr>
                <w:sz w:val="20"/>
                <w:szCs w:val="20"/>
              </w:rPr>
              <w:t>0</w:t>
            </w:r>
            <w:bookmarkStart w:id="75" w:name="OLE_LINK49"/>
            <w:bookmarkEnd w:id="75"/>
          </w:p>
        </w:tc>
        <w:tc>
          <w:tcPr>
            <w:tcW w:w="1782" w:type="dxa"/>
            <w:vAlign w:val="center"/>
          </w:tcPr>
          <w:p>
            <w:pPr>
              <w:jc w:val="center"/>
              <w:rPr>
                <w:sz w:val="20"/>
                <w:szCs w:val="20"/>
              </w:rPr>
            </w:pPr>
            <w:r>
              <w:rPr>
                <w:sz w:val="20"/>
                <w:szCs w:val="20"/>
              </w:rPr>
              <w:t>0</w:t>
            </w:r>
          </w:p>
        </w:tc>
        <w:tc>
          <w:tcPr>
            <w:tcW w:w="1229" w:type="dxa"/>
            <w:vAlign w:val="center"/>
          </w:tcPr>
          <w:p>
            <w:pPr>
              <w:jc w:val="center"/>
              <w:rPr>
                <w:sz w:val="20"/>
                <w:szCs w:val="20"/>
              </w:rPr>
            </w:pPr>
            <w:r>
              <w:rPr>
                <w:sz w:val="20"/>
                <w:szCs w:val="20"/>
              </w:rPr>
              <w:t>0</w:t>
            </w:r>
          </w:p>
        </w:tc>
        <w:tc>
          <w:tcPr>
            <w:tcW w:w="1505" w:type="dxa"/>
            <w:vAlign w:val="center"/>
          </w:tcPr>
          <w:p>
            <w:pPr>
              <w:jc w:val="center"/>
              <w:rPr>
                <w:sz w:val="20"/>
                <w:szCs w:val="20"/>
              </w:rPr>
            </w:pPr>
            <w:r>
              <w:rPr>
                <w:sz w:val="20"/>
                <w:szCs w:val="20"/>
              </w:rPr>
              <w:t>0</w:t>
            </w:r>
          </w:p>
        </w:tc>
        <w:tc>
          <w:tcPr>
            <w:tcW w:w="1321" w:type="dxa"/>
            <w:vAlign w:val="center"/>
          </w:tcPr>
          <w:p>
            <w:pPr>
              <w:jc w:val="center"/>
              <w:rPr>
                <w:sz w:val="20"/>
                <w:szCs w:val="20"/>
              </w:rPr>
            </w:pPr>
            <w:r>
              <w:rPr>
                <w:sz w:val="20"/>
                <w:szCs w:val="20"/>
              </w:rPr>
              <w:t>0</w:t>
            </w:r>
          </w:p>
        </w:tc>
      </w:tr>
      <w:tr>
        <w:tc>
          <w:tcPr>
            <w:tcW w:w="1230" w:type="dxa"/>
            <w:vAlign w:val="center"/>
          </w:tcPr>
          <w:p>
            <w:pPr>
              <w:jc w:val="center"/>
              <w:rPr>
                <w:sz w:val="20"/>
                <w:szCs w:val="20"/>
              </w:rPr>
            </w:pPr>
            <w:r>
              <w:rPr>
                <w:sz w:val="20"/>
              </w:rPr>
              <w:t>基础实验室</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实习场所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实训场所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其他</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bl>
    <w:p/>
    <w:p>
      <w:pPr>
        <w:pStyle w:val="4"/>
        <w:rPr>
          <w:rFonts w:ascii="宋体" w:hAnsi="宋体" w:eastAsia="宋体"/>
          <w:b w:val="0"/>
          <w:bCs w:val="0"/>
          <w:sz w:val="24"/>
          <w:szCs w:val="24"/>
        </w:rPr>
      </w:pPr>
      <w:bookmarkStart w:id="76" w:name="_Toc160195586"/>
      <w:r>
        <w:rPr>
          <w:rFonts w:ascii="宋体" w:hAnsi="宋体" w:eastAsia="宋体"/>
          <w:b w:val="0"/>
          <w:bCs w:val="0"/>
          <w:sz w:val="24"/>
          <w:szCs w:val="24"/>
        </w:rPr>
        <w:t>5.3校外本科教学实习实训基地情况</w:t>
      </w:r>
      <w:bookmarkEnd w:id="7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c>
          <w:tcPr>
            <w:tcW w:w="3981" w:type="dxa"/>
            <w:vAlign w:val="center"/>
          </w:tcPr>
          <w:p>
            <w:pPr>
              <w:jc w:val="center"/>
              <w:rPr>
                <w:sz w:val="20"/>
                <w:szCs w:val="20"/>
              </w:rPr>
            </w:pPr>
            <w:r>
              <w:rPr>
                <w:sz w:val="20"/>
                <w:szCs w:val="20"/>
              </w:rPr>
              <w:t>江苏花桥壹道社会服务创新实践基地</w:t>
            </w:r>
          </w:p>
        </w:tc>
        <w:tc>
          <w:tcPr>
            <w:tcW w:w="1401" w:type="dxa"/>
            <w:vAlign w:val="center"/>
          </w:tcPr>
          <w:p>
            <w:pPr>
              <w:jc w:val="center"/>
              <w:rPr>
                <w:sz w:val="20"/>
                <w:szCs w:val="20"/>
              </w:rPr>
            </w:pPr>
            <w:r>
              <w:rPr>
                <w:sz w:val="20"/>
                <w:szCs w:val="20"/>
              </w:rPr>
              <w:t>2021</w:t>
            </w:r>
          </w:p>
        </w:tc>
        <w:tc>
          <w:tcPr>
            <w:tcW w:w="2914" w:type="dxa"/>
            <w:vAlign w:val="center"/>
          </w:tcPr>
          <w:p>
            <w:pPr>
              <w:jc w:val="center"/>
              <w:rPr>
                <w:sz w:val="20"/>
                <w:szCs w:val="20"/>
              </w:rPr>
            </w:pPr>
            <w:r>
              <w:rPr>
                <w:sz w:val="20"/>
                <w:szCs w:val="20"/>
              </w:rPr>
              <w:t>3</w:t>
            </w:r>
            <w:bookmarkStart w:id="77" w:name="OLE_LINK50"/>
            <w:bookmarkEnd w:id="77"/>
          </w:p>
        </w:tc>
      </w:tr>
      <w:tr>
        <w:tc>
          <w:tcPr>
            <w:tcW w:w="3981" w:type="dxa"/>
            <w:vAlign w:val="center"/>
          </w:tcPr>
          <w:p>
            <w:pPr>
              <w:jc w:val="center"/>
              <w:rPr>
                <w:sz w:val="20"/>
                <w:szCs w:val="20"/>
              </w:rPr>
            </w:pPr>
            <w:r>
              <w:rPr>
                <w:sz w:val="20"/>
              </w:rPr>
              <w:t>莜芈（上海）科技发展有限公司</w:t>
            </w:r>
          </w:p>
        </w:tc>
        <w:tc>
          <w:tcPr>
            <w:tcW w:w="1401" w:type="dxa"/>
            <w:vAlign w:val="center"/>
          </w:tcPr>
          <w:p>
            <w:pPr>
              <w:jc w:val="center"/>
              <w:rPr>
                <w:sz w:val="20"/>
                <w:szCs w:val="20"/>
              </w:rPr>
            </w:pPr>
            <w:r>
              <w:rPr>
                <w:sz w:val="20"/>
              </w:rPr>
              <w:t>2021</w:t>
            </w:r>
          </w:p>
        </w:tc>
        <w:tc>
          <w:tcPr>
            <w:tcW w:w="2914" w:type="dxa"/>
            <w:vAlign w:val="center"/>
          </w:tcPr>
          <w:p>
            <w:pPr>
              <w:jc w:val="center"/>
              <w:rPr>
                <w:sz w:val="20"/>
                <w:szCs w:val="20"/>
              </w:rPr>
            </w:pPr>
            <w:r>
              <w:rPr>
                <w:sz w:val="20"/>
              </w:rPr>
              <w:t>2</w:t>
            </w:r>
          </w:p>
        </w:tc>
      </w:tr>
      <w:tr>
        <w:tc>
          <w:tcPr>
            <w:tcW w:w="3981" w:type="dxa"/>
            <w:vAlign w:val="center"/>
          </w:tcPr>
          <w:p>
            <w:pPr>
              <w:jc w:val="center"/>
              <w:rPr>
                <w:sz w:val="20"/>
                <w:szCs w:val="20"/>
              </w:rPr>
            </w:pPr>
            <w:r>
              <w:rPr>
                <w:sz w:val="20"/>
              </w:rPr>
              <w:t>上海松江区百姓义工为民服务中心</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w:t>
            </w:r>
          </w:p>
        </w:tc>
      </w:tr>
      <w:tr>
        <w:tc>
          <w:tcPr>
            <w:tcW w:w="3981" w:type="dxa"/>
            <w:vAlign w:val="center"/>
          </w:tcPr>
          <w:p>
            <w:pPr>
              <w:jc w:val="center"/>
              <w:rPr>
                <w:sz w:val="20"/>
                <w:szCs w:val="20"/>
              </w:rPr>
            </w:pPr>
            <w:r>
              <w:rPr>
                <w:sz w:val="20"/>
              </w:rPr>
              <w:t>上海市松江区交通运输管理局行政执法大队</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4</w:t>
            </w:r>
          </w:p>
        </w:tc>
      </w:tr>
      <w:tr>
        <w:tc>
          <w:tcPr>
            <w:tcW w:w="3981" w:type="dxa"/>
            <w:vAlign w:val="center"/>
          </w:tcPr>
          <w:p>
            <w:pPr>
              <w:jc w:val="center"/>
              <w:rPr>
                <w:sz w:val="20"/>
                <w:szCs w:val="20"/>
              </w:rPr>
            </w:pPr>
            <w:r>
              <w:rPr>
                <w:sz w:val="20"/>
              </w:rPr>
              <w:t>松江区方松街道社区事务受理服务中心</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2</w:t>
            </w:r>
          </w:p>
        </w:tc>
      </w:tr>
      <w:tr>
        <w:tc>
          <w:tcPr>
            <w:tcW w:w="3981" w:type="dxa"/>
            <w:vAlign w:val="center"/>
          </w:tcPr>
          <w:p>
            <w:pPr>
              <w:jc w:val="center"/>
              <w:rPr>
                <w:sz w:val="20"/>
                <w:szCs w:val="20"/>
              </w:rPr>
            </w:pPr>
            <w:r>
              <w:rPr>
                <w:sz w:val="20"/>
              </w:rPr>
              <w:t>松江区中心医院</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3</w:t>
            </w:r>
          </w:p>
        </w:tc>
      </w:tr>
      <w:tr>
        <w:tc>
          <w:tcPr>
            <w:tcW w:w="3981" w:type="dxa"/>
            <w:vAlign w:val="center"/>
          </w:tcPr>
          <w:p>
            <w:pPr>
              <w:jc w:val="center"/>
              <w:rPr>
                <w:sz w:val="20"/>
                <w:szCs w:val="20"/>
              </w:rPr>
            </w:pPr>
            <w:r>
              <w:rPr>
                <w:sz w:val="20"/>
              </w:rPr>
              <w:t>松江区小昆山镇社会保障事务所</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3</w:t>
            </w:r>
          </w:p>
        </w:tc>
      </w:tr>
      <w:tr>
        <w:tc>
          <w:tcPr>
            <w:tcW w:w="3981" w:type="dxa"/>
            <w:vAlign w:val="center"/>
          </w:tcPr>
          <w:p>
            <w:pPr>
              <w:jc w:val="center"/>
              <w:rPr>
                <w:sz w:val="20"/>
                <w:szCs w:val="20"/>
              </w:rPr>
            </w:pPr>
            <w:r>
              <w:rPr>
                <w:sz w:val="20"/>
              </w:rPr>
              <w:t>上海市松江区方松社区（街道）团工委</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3</w:t>
            </w:r>
          </w:p>
        </w:tc>
      </w:tr>
      <w:tr>
        <w:tc>
          <w:tcPr>
            <w:tcW w:w="3981" w:type="dxa"/>
            <w:vAlign w:val="center"/>
          </w:tcPr>
          <w:p>
            <w:pPr>
              <w:jc w:val="center"/>
              <w:rPr>
                <w:sz w:val="20"/>
                <w:szCs w:val="20"/>
              </w:rPr>
            </w:pPr>
            <w:r>
              <w:rPr>
                <w:sz w:val="20"/>
              </w:rPr>
              <w:t>上海亚狮投资管理咨询有限公司</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w:t>
            </w:r>
          </w:p>
        </w:tc>
      </w:tr>
    </w:tbl>
    <w:p/>
    <w:p>
      <w:pPr>
        <w:pStyle w:val="3"/>
        <w:pageBreakBefore/>
        <w:adjustRightInd w:val="0"/>
        <w:snapToGrid w:val="0"/>
        <w:spacing w:before="0" w:after="120" w:line="360" w:lineRule="auto"/>
        <w:jc w:val="left"/>
        <w:rPr>
          <w:rFonts w:ascii="宋体" w:hAnsi="宋体"/>
          <w:b w:val="0"/>
          <w:bCs w:val="0"/>
          <w:sz w:val="28"/>
          <w:szCs w:val="28"/>
        </w:rPr>
      </w:pPr>
      <w:bookmarkStart w:id="78" w:name="_Toc160195587"/>
      <w:r>
        <w:rPr>
          <w:rFonts w:ascii="宋体" w:hAnsi="宋体"/>
          <w:b w:val="0"/>
          <w:bCs w:val="0"/>
          <w:sz w:val="28"/>
          <w:szCs w:val="28"/>
        </w:rPr>
        <w:t>6.质量保障</w:t>
      </w:r>
      <w:bookmarkEnd w:id="78"/>
      <w:r>
        <w:rPr>
          <w:rFonts w:ascii="宋体" w:hAnsi="宋体"/>
          <w:b w:val="0"/>
          <w:bCs w:val="0"/>
          <w:sz w:val="28"/>
          <w:szCs w:val="28"/>
        </w:rPr>
        <w:t xml:space="preserve"> </w:t>
      </w:r>
    </w:p>
    <w:p>
      <w:pPr>
        <w:pStyle w:val="4"/>
        <w:adjustRightInd w:val="0"/>
        <w:snapToGrid w:val="0"/>
        <w:spacing w:before="0" w:line="360" w:lineRule="auto"/>
        <w:rPr>
          <w:rFonts w:ascii="宋体" w:hAnsi="宋体" w:eastAsia="宋体"/>
          <w:b w:val="0"/>
          <w:bCs w:val="0"/>
          <w:sz w:val="24"/>
          <w:szCs w:val="24"/>
        </w:rPr>
      </w:pPr>
      <w:bookmarkStart w:id="79" w:name="_Toc160195588"/>
      <w:r>
        <w:rPr>
          <w:rFonts w:ascii="宋体" w:hAnsi="宋体" w:eastAsia="宋体"/>
          <w:b w:val="0"/>
          <w:bCs w:val="0"/>
          <w:sz w:val="24"/>
          <w:szCs w:val="24"/>
        </w:rPr>
        <w:t>6.1质量保障体系</w:t>
      </w:r>
      <w:bookmarkEnd w:id="79"/>
    </w:p>
    <w:p>
      <w:pPr>
        <w:pStyle w:val="26"/>
        <w:tabs>
          <w:tab w:val="left" w:pos="681"/>
        </w:tabs>
        <w:adjustRightInd w:val="0"/>
        <w:snapToGrid w:val="0"/>
        <w:spacing w:before="0" w:beforeAutospacing="0" w:after="32" w:afterAutospacing="0" w:line="360" w:lineRule="auto"/>
        <w:ind w:firstLine="480" w:firstLineChars="200"/>
      </w:pPr>
      <w:r>
        <w:rPr>
          <w:rFonts w:hint="eastAsia"/>
        </w:rPr>
        <w:t>教学规范文件指导，保证专业教学质量。为迎评促建，专业组织全体教师深入巩固学习了上海工程技术大学《高等学校课程教学基本环节操作规范》、上海工程技术大学《毕业论文管理》、上海工程技术大学《实践教学管理》、上海工程技术大学管理学院《教学质量保障体系》等制度性文件。对于部分教师尤其是新进青年教师对一些规章制度存在的误解（如指导学生选课、登录考试成绩及补考成绩、新旧教学系统的设定区别</w:t>
      </w:r>
      <w:r>
        <w:t>……</w:t>
      </w:r>
      <w:r>
        <w:rPr>
          <w:rFonts w:hint="eastAsia"/>
        </w:rPr>
        <w:t>等）进行了进一步澄清和规范。</w:t>
      </w:r>
    </w:p>
    <w:p>
      <w:pPr>
        <w:pStyle w:val="26"/>
        <w:tabs>
          <w:tab w:val="left" w:pos="681"/>
        </w:tabs>
        <w:adjustRightInd w:val="0"/>
        <w:snapToGrid w:val="0"/>
        <w:spacing w:before="0" w:beforeAutospacing="0" w:after="32" w:afterAutospacing="0" w:line="360" w:lineRule="auto"/>
        <w:ind w:firstLine="480" w:firstLineChars="200"/>
      </w:pPr>
      <w:r>
        <w:rPr>
          <w:rFonts w:hint="eastAsia"/>
        </w:rPr>
        <w:t>在今年的教学质量月活动中，向所有教师发布了年度《劳动与社会保障专业质量报告》，认真聆听师生反馈，及时查找教学问题，并上报相关部门，协同解决问题。</w:t>
      </w:r>
    </w:p>
    <w:p>
      <w:pPr>
        <w:pStyle w:val="26"/>
        <w:tabs>
          <w:tab w:val="left" w:pos="681"/>
        </w:tabs>
        <w:adjustRightInd w:val="0"/>
        <w:snapToGrid w:val="0"/>
        <w:spacing w:before="0" w:beforeAutospacing="0" w:after="32" w:afterAutospacing="0" w:line="360" w:lineRule="auto"/>
        <w:ind w:firstLine="240" w:firstLineChars="100"/>
        <w:rPr>
          <w:rFonts w:hint="eastAsia" w:ascii="Times New Roman" w:hAnsi="Times New Roman" w:eastAsia="Times New Roman" w:cs="Times New Roman"/>
        </w:rPr>
      </w:pPr>
    </w:p>
    <w:p>
      <w:pPr>
        <w:pStyle w:val="4"/>
        <w:adjustRightInd w:val="0"/>
        <w:snapToGrid w:val="0"/>
        <w:spacing w:before="0" w:line="360" w:lineRule="auto"/>
        <w:rPr>
          <w:rFonts w:ascii="宋体" w:hAnsi="宋体" w:eastAsia="宋体"/>
          <w:b w:val="0"/>
          <w:bCs w:val="0"/>
          <w:sz w:val="24"/>
          <w:szCs w:val="24"/>
        </w:rPr>
      </w:pPr>
      <w:bookmarkStart w:id="80" w:name="_Toc160195589"/>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80"/>
    </w:p>
    <w:p>
      <w:pPr>
        <w:pStyle w:val="26"/>
        <w:tabs>
          <w:tab w:val="left" w:pos="681"/>
        </w:tabs>
        <w:adjustRightInd w:val="0"/>
        <w:snapToGrid w:val="0"/>
        <w:spacing w:before="0" w:beforeAutospacing="0" w:after="32" w:afterAutospacing="0" w:line="360" w:lineRule="auto"/>
      </w:pPr>
      <w:r>
        <w:rPr>
          <w:rFonts w:hint="eastAsia"/>
        </w:rPr>
        <w:t>（1）教学质量的检查、评价、反馈、改进机制</w:t>
      </w:r>
    </w:p>
    <w:p>
      <w:pPr>
        <w:pStyle w:val="26"/>
        <w:tabs>
          <w:tab w:val="left" w:pos="681"/>
        </w:tabs>
        <w:adjustRightInd w:val="0"/>
        <w:snapToGrid w:val="0"/>
        <w:spacing w:before="0" w:beforeAutospacing="0" w:after="32" w:afterAutospacing="0" w:line="360" w:lineRule="auto"/>
        <w:ind w:firstLine="480" w:firstLineChars="200"/>
      </w:pPr>
      <w:r>
        <w:rPr>
          <w:rFonts w:hint="eastAsia"/>
        </w:rPr>
        <w:t>专业根据人才培养目标，制定了涵盖教学准备、教学过程、课程考核等教学环节全过程的质量标准，并严格执行。为贯彻落实各主要教学环节的质量标准，本专业通过教学秩序检查、贯彻听课制度、教学质量专题座谈会、构建评教体系、教学资料检查和专业质量报告制度等多种形式对各环节教学质量标准的执行情况进行督查，有效保证了教学质量标准的严格执行；同时，对检查中发现的教学问题，及时反馈给相关教师，或组织教研室进行讨论，分析问题的原因，提出解决问题与提升教学质量的对策建议。</w:t>
      </w:r>
    </w:p>
    <w:p>
      <w:pPr>
        <w:pStyle w:val="26"/>
        <w:tabs>
          <w:tab w:val="left" w:pos="681"/>
        </w:tabs>
        <w:adjustRightInd w:val="0"/>
        <w:snapToGrid w:val="0"/>
        <w:spacing w:before="0" w:beforeAutospacing="0" w:after="32" w:afterAutospacing="0" w:line="360" w:lineRule="auto"/>
        <w:ind w:firstLine="480" w:firstLineChars="200"/>
      </w:pPr>
      <w:r>
        <w:rPr>
          <w:rFonts w:hint="eastAsia"/>
        </w:rPr>
        <w:t>近年来，课程教学满意度稳定，课程评价为“优良”比例达到95%以上，教学质量标准和教学水平不断提高。</w:t>
      </w:r>
    </w:p>
    <w:p>
      <w:pPr>
        <w:pStyle w:val="26"/>
        <w:tabs>
          <w:tab w:val="left" w:pos="681"/>
        </w:tabs>
        <w:adjustRightInd w:val="0"/>
        <w:snapToGrid w:val="0"/>
        <w:spacing w:before="0" w:beforeAutospacing="0" w:after="32" w:afterAutospacing="0" w:line="360" w:lineRule="auto"/>
      </w:pPr>
      <w:r>
        <w:rPr>
          <w:rFonts w:hint="eastAsia"/>
        </w:rPr>
        <w:t>（2）专业质量报告制度</w:t>
      </w:r>
    </w:p>
    <w:p>
      <w:pPr>
        <w:pStyle w:val="26"/>
        <w:tabs>
          <w:tab w:val="left" w:pos="681"/>
        </w:tabs>
        <w:adjustRightInd w:val="0"/>
        <w:snapToGrid w:val="0"/>
        <w:spacing w:before="0" w:beforeAutospacing="0" w:after="32" w:afterAutospacing="0" w:line="360" w:lineRule="auto"/>
        <w:ind w:firstLine="480" w:firstLineChars="200"/>
        <w:rPr>
          <w:rFonts w:hint="eastAsia"/>
        </w:rPr>
      </w:pPr>
      <w:r>
        <w:rPr>
          <w:rFonts w:hint="eastAsia"/>
        </w:rPr>
        <w:t>专业从2013年起建立了专业质量报告制度。专业质量报告包括：专业人才培养质量总体评价、课程教学质量评价、学生学业发展评价、学生综合素质和能力提升评价、师资队伍综合实力评价、专业人才培养质量问题及对策。</w:t>
      </w:r>
    </w:p>
    <w:p>
      <w:pPr>
        <w:pStyle w:val="4"/>
        <w:spacing w:line="360" w:lineRule="auto"/>
        <w:rPr>
          <w:rFonts w:ascii="宋体" w:hAnsi="宋体" w:eastAsia="宋体"/>
          <w:b w:val="0"/>
          <w:bCs w:val="0"/>
          <w:sz w:val="24"/>
          <w:szCs w:val="24"/>
        </w:rPr>
      </w:pPr>
      <w:bookmarkStart w:id="81" w:name="_Toc160195590"/>
      <w:r>
        <w:rPr>
          <w:rFonts w:ascii="宋体" w:hAnsi="宋体" w:eastAsia="宋体"/>
          <w:b w:val="0"/>
          <w:bCs w:val="0"/>
          <w:sz w:val="24"/>
          <w:szCs w:val="24"/>
        </w:rPr>
        <w:t>6.3</w:t>
      </w:r>
      <w:r>
        <w:rPr>
          <w:rFonts w:hint="eastAsia" w:ascii="宋体" w:hAnsi="宋体" w:eastAsia="宋体"/>
          <w:b w:val="0"/>
          <w:bCs w:val="0"/>
          <w:sz w:val="24"/>
          <w:szCs w:val="24"/>
        </w:rPr>
        <w:t>质量评估反馈及持续改进</w:t>
      </w:r>
      <w:bookmarkEnd w:id="81"/>
      <w:r>
        <w:rPr>
          <w:rFonts w:hint="eastAsia" w:ascii="宋体" w:hAnsi="宋体" w:eastAsia="宋体"/>
          <w:b w:val="0"/>
          <w:bCs w:val="0"/>
          <w:sz w:val="24"/>
          <w:szCs w:val="24"/>
        </w:rPr>
        <w:t xml:space="preserve"> </w:t>
      </w:r>
    </w:p>
    <w:p>
      <w:pPr>
        <w:pStyle w:val="26"/>
        <w:tabs>
          <w:tab w:val="left" w:pos="681"/>
        </w:tabs>
        <w:spacing w:before="0" w:beforeAutospacing="0" w:after="32" w:afterAutospacing="0" w:line="360" w:lineRule="auto"/>
        <w:ind w:firstLine="240" w:firstLineChars="100"/>
      </w:pPr>
      <w:r>
        <w:rPr>
          <w:rFonts w:hint="eastAsia"/>
        </w:rPr>
        <w:t>（</w:t>
      </w:r>
      <w:r>
        <w:t>1）组织教师不定期交流，改进授课方法。</w:t>
      </w:r>
    </w:p>
    <w:p>
      <w:pPr>
        <w:pStyle w:val="26"/>
        <w:tabs>
          <w:tab w:val="left" w:pos="681"/>
        </w:tabs>
        <w:spacing w:before="0" w:beforeAutospacing="0" w:after="0" w:afterAutospacing="0" w:line="360" w:lineRule="auto"/>
        <w:ind w:firstLine="480" w:firstLineChars="200"/>
      </w:pPr>
      <w:r>
        <w:rPr>
          <w:rFonts w:hint="eastAsia"/>
        </w:rPr>
        <w:t>本专业通过日常的教学监控，及时发现和反馈教学中的薄弱环节，并组织教师不定期交流，分析和探讨改进的方法，经过教师自评和同行互评，本专业基本消除了课程资料、考核评分等基本教学环节中出现的问题，同时，也在课程中逐步推进反转课堂、互联网授课等先进教学方法和手段的应用。</w:t>
      </w:r>
    </w:p>
    <w:p>
      <w:pPr>
        <w:pStyle w:val="26"/>
        <w:tabs>
          <w:tab w:val="left" w:pos="681"/>
        </w:tabs>
        <w:spacing w:after="0" w:afterAutospacing="0" w:line="360" w:lineRule="auto"/>
        <w:ind w:firstLine="240" w:firstLineChars="100"/>
      </w:pPr>
      <w:r>
        <w:rPr>
          <w:rFonts w:hint="eastAsia"/>
        </w:rPr>
        <w:t>（</w:t>
      </w:r>
      <w:r>
        <w:t>2）建立教学反馈机制，将教学质量改进情况纳入阶段性考核。</w:t>
      </w:r>
    </w:p>
    <w:p>
      <w:pPr>
        <w:pStyle w:val="26"/>
        <w:tabs>
          <w:tab w:val="left" w:pos="681"/>
        </w:tabs>
        <w:spacing w:after="0" w:afterAutospacing="0" w:line="360" w:lineRule="auto"/>
        <w:ind w:firstLine="480" w:firstLineChars="200"/>
      </w:pPr>
      <w:r>
        <w:rPr>
          <w:rFonts w:hint="eastAsia"/>
        </w:rPr>
        <w:t>本专业对日常教学督导意见积极组织反馈，由系主任、专业负责人和专业教师共同分析，考虑改进措施，将督导、同行评议、学生评议等评价结果纳入阶段性考核的参考内容，对于督导评分低于</w:t>
      </w:r>
      <w:r>
        <w:t>75分的教师，暂停授课，组织再培训；对学生评议低于80分的课程，组织专家教师进行辅导。</w:t>
      </w:r>
    </w:p>
    <w:p>
      <w:pPr>
        <w:pStyle w:val="26"/>
        <w:tabs>
          <w:tab w:val="left" w:pos="681"/>
        </w:tabs>
        <w:spacing w:after="0" w:afterAutospacing="0" w:line="360" w:lineRule="auto"/>
        <w:ind w:firstLine="240" w:firstLineChars="100"/>
      </w:pPr>
      <w:r>
        <w:rPr>
          <w:rFonts w:hint="eastAsia"/>
        </w:rPr>
        <w:t>（</w:t>
      </w:r>
      <w:r>
        <w:t>3）建立学生座谈反馈制度，及时追踪改进教学。</w:t>
      </w:r>
    </w:p>
    <w:p>
      <w:pPr>
        <w:pStyle w:val="26"/>
        <w:tabs>
          <w:tab w:val="left" w:pos="681"/>
        </w:tabs>
        <w:spacing w:after="0" w:afterAutospacing="0" w:line="360" w:lineRule="auto"/>
        <w:ind w:firstLine="480" w:firstLineChars="200"/>
      </w:pPr>
      <w:r>
        <w:rPr>
          <w:rFonts w:hint="eastAsia"/>
        </w:rPr>
        <w:t>本专业设立了学生信息员，不定期收集上报有关教师课堂教学、学生学习、教学设备、教室管理等方面的问题和意见，并于每学期组织学生座谈会，对于学生提交的数据进行归纳整理，作为本专业教学质量改进的重要依据。本学年度组织的在校本专业学生的座谈会共得到近15</w:t>
      </w:r>
      <w:r>
        <w:t>条教学反馈意见，涵盖课程设置、培养计划、实践教学及专业竞赛等多个方面，为本专业进一步优化课程结构，提高实践教学成效提供有力依据。</w:t>
      </w:r>
    </w:p>
    <w:p>
      <w:pPr>
        <w:pStyle w:val="26"/>
        <w:tabs>
          <w:tab w:val="left" w:pos="681"/>
        </w:tabs>
        <w:spacing w:after="32" w:afterAutospacing="0" w:line="360" w:lineRule="auto"/>
        <w:ind w:firstLine="240" w:firstLineChars="100"/>
      </w:pPr>
      <w:r>
        <w:rPr>
          <w:rFonts w:hint="eastAsia"/>
        </w:rPr>
        <w:t>（</w:t>
      </w:r>
      <w:r>
        <w:t>4）实行学习预警和支持制度，促进学生学习有效改进。</w:t>
      </w:r>
    </w:p>
    <w:p>
      <w:pPr>
        <w:pStyle w:val="26"/>
        <w:tabs>
          <w:tab w:val="left" w:pos="681"/>
        </w:tabs>
        <w:spacing w:after="32" w:afterAutospacing="0" w:line="360" w:lineRule="auto"/>
        <w:ind w:firstLine="480" w:firstLineChars="200"/>
      </w:pPr>
      <w:r>
        <w:rPr>
          <w:rFonts w:hint="eastAsia"/>
        </w:rPr>
        <w:t>本专业实行学生学习预警制度，每学期对于缺勤学时达到三分之一和不及格学分累计达到</w:t>
      </w:r>
      <w:r>
        <w:t>10学分的学生实行学时预警和学分预警，让每位学生了解自己的学习状态，促进学生提高学习效果，形成自我改进的良性循环。</w:t>
      </w:r>
    </w:p>
    <w:p>
      <w:pPr>
        <w:pStyle w:val="26"/>
        <w:tabs>
          <w:tab w:val="left" w:pos="681"/>
        </w:tabs>
        <w:spacing w:after="32" w:afterAutospacing="0" w:line="360" w:lineRule="auto"/>
        <w:ind w:firstLine="240" w:firstLineChars="100"/>
      </w:pPr>
      <w:r>
        <w:rPr>
          <w:rFonts w:hint="eastAsia"/>
        </w:rPr>
        <w:t>（</w:t>
      </w:r>
      <w:r>
        <w:t>5）征集行业专家评价，促进教学质量持续改进</w:t>
      </w:r>
    </w:p>
    <w:p>
      <w:pPr>
        <w:pStyle w:val="26"/>
        <w:tabs>
          <w:tab w:val="left" w:pos="681"/>
        </w:tabs>
        <w:spacing w:after="32" w:afterAutospacing="0" w:line="360" w:lineRule="auto"/>
        <w:ind w:firstLine="480" w:firstLineChars="200"/>
      </w:pPr>
      <w:r>
        <w:rPr>
          <w:rFonts w:hint="eastAsia"/>
        </w:rPr>
        <w:t>与相关行业机构或企业建立合作关系，邀请行业资深人士参与对劳动与社会保障专业的评价。组织行业座谈会，对专业的培养目标、课程设置、教学方法等进行评价和建议，分享行业的发展趋势、人才需求和专业技能要求，为专业发展提供宝贵的指导意见。聘请社会保障管理领域的专家担任顾问或评审委员，对专业的培养目标进行评价。专家对培养计划、课程设置、教学内容等方面进行评估，并提供建议和意见。专家的专业知识和经验将对专业的教学改进和培养目标的制定起到重要的指导作用。</w:t>
      </w:r>
    </w:p>
    <w:p>
      <w:pPr>
        <w:pStyle w:val="4"/>
        <w:rPr>
          <w:rFonts w:ascii="宋体" w:hAnsi="宋体" w:eastAsia="宋体"/>
          <w:b w:val="0"/>
          <w:bCs w:val="0"/>
          <w:sz w:val="24"/>
          <w:szCs w:val="24"/>
        </w:rPr>
      </w:pPr>
      <w:bookmarkStart w:id="82" w:name="_Toc160195591"/>
      <w:r>
        <w:rPr>
          <w:rFonts w:ascii="宋体" w:hAnsi="宋体" w:eastAsia="宋体"/>
          <w:b w:val="0"/>
          <w:bCs w:val="0"/>
          <w:sz w:val="24"/>
          <w:szCs w:val="24"/>
        </w:rPr>
        <w:t>6.4</w:t>
      </w:r>
      <w:r>
        <w:rPr>
          <w:rFonts w:hint="eastAsia" w:ascii="宋体" w:hAnsi="宋体" w:eastAsia="宋体"/>
          <w:b w:val="0"/>
          <w:bCs w:val="0"/>
          <w:sz w:val="24"/>
          <w:szCs w:val="24"/>
        </w:rPr>
        <w:t>在校生与毕业生满意度</w:t>
      </w:r>
      <w:bookmarkEnd w:id="82"/>
      <w:r>
        <w:rPr>
          <w:rFonts w:hint="eastAsia" w:ascii="宋体" w:hAnsi="宋体" w:eastAsia="宋体"/>
          <w:b w:val="0"/>
          <w:bCs w:val="0"/>
          <w:sz w:val="24"/>
          <w:szCs w:val="24"/>
        </w:rPr>
        <w:t xml:space="preserve"> </w:t>
      </w:r>
    </w:p>
    <w:p>
      <w:pPr>
        <w:pStyle w:val="26"/>
        <w:tabs>
          <w:tab w:val="left" w:pos="681"/>
        </w:tabs>
        <w:spacing w:before="0" w:beforeAutospacing="0" w:after="32" w:afterAutospacing="0" w:line="360" w:lineRule="auto"/>
        <w:ind w:firstLine="480" w:firstLineChars="200"/>
      </w:pPr>
      <w:r>
        <w:rPr>
          <w:rFonts w:hint="eastAsia"/>
        </w:rPr>
        <w:t>（</w:t>
      </w:r>
      <w:r>
        <w:t>1）在校生满意度评价</w:t>
      </w:r>
    </w:p>
    <w:p>
      <w:pPr>
        <w:pStyle w:val="26"/>
        <w:tabs>
          <w:tab w:val="left" w:pos="681"/>
        </w:tabs>
        <w:spacing w:before="0" w:beforeAutospacing="0" w:after="32" w:afterAutospacing="0" w:line="360" w:lineRule="auto"/>
        <w:ind w:firstLine="480" w:firstLineChars="200"/>
      </w:pPr>
      <w:r>
        <w:rPr>
          <w:rFonts w:hint="eastAsia"/>
        </w:rPr>
        <w:t>在本学年的网络评教中，本专业教师的网络评教优良率均在90</w:t>
      </w:r>
      <w:r>
        <w:t>％以上，大多数教师都能达到</w:t>
      </w:r>
      <w:r>
        <w:rPr>
          <w:rFonts w:hint="eastAsia"/>
        </w:rPr>
        <w:t>95</w:t>
      </w:r>
      <w:r>
        <w:t>％；而在学院每学期对每位教师的课堂教学情况测评中，教师的测评结果都在90分以上。在每学期组织的学生教学反馈会上，学生对本专业教师的教学质量都十分肯定，认为教师</w:t>
      </w:r>
      <w:r>
        <w:rPr>
          <w:rFonts w:hint="eastAsia"/>
        </w:rPr>
        <w:t>上课有爱心、</w:t>
      </w:r>
      <w:r>
        <w:t>有激情、有魅力、有水平。</w:t>
      </w:r>
    </w:p>
    <w:p>
      <w:pPr>
        <w:pStyle w:val="26"/>
        <w:tabs>
          <w:tab w:val="left" w:pos="681"/>
        </w:tabs>
        <w:spacing w:before="0" w:beforeAutospacing="0" w:after="32" w:afterAutospacing="0" w:line="360" w:lineRule="auto"/>
        <w:ind w:firstLine="480" w:firstLineChars="200"/>
      </w:pPr>
      <w:r>
        <w:rPr>
          <w:rFonts w:hint="eastAsia"/>
        </w:rPr>
        <w:t>从就业学生反馈的信息看，许多学生都认为学校实施的以创新能力为核心的教学体系，使他们更具就业竞争力，岗位适应能力强，从学生到管理人员实现了零距离转换。</w:t>
      </w:r>
    </w:p>
    <w:p>
      <w:pPr>
        <w:pStyle w:val="26"/>
        <w:tabs>
          <w:tab w:val="left" w:pos="681"/>
        </w:tabs>
        <w:spacing w:before="0" w:beforeAutospacing="0" w:after="32" w:afterAutospacing="0" w:line="360" w:lineRule="auto"/>
        <w:ind w:firstLine="480" w:firstLineChars="200"/>
      </w:pPr>
      <w:r>
        <w:rPr>
          <w:rFonts w:hint="eastAsia"/>
        </w:rPr>
        <w:t>（</w:t>
      </w:r>
      <w:r>
        <w:t>2）当年毕业生满意度评价</w:t>
      </w:r>
    </w:p>
    <w:p>
      <w:pPr>
        <w:pStyle w:val="26"/>
        <w:tabs>
          <w:tab w:val="left" w:pos="681"/>
        </w:tabs>
        <w:spacing w:before="0" w:beforeAutospacing="0" w:after="32" w:afterAutospacing="0" w:line="360" w:lineRule="auto"/>
        <w:ind w:firstLine="480" w:firstLineChars="200"/>
      </w:pPr>
      <w:r>
        <w:rPr>
          <w:rFonts w:hint="eastAsia"/>
        </w:rPr>
        <w:t>本专业学生基础知识扎实，实践能力强，有着良好的综合素质，近年来就业率均在</w:t>
      </w:r>
      <w:r>
        <w:t>9</w:t>
      </w:r>
      <w:r>
        <w:rPr>
          <w:rFonts w:hint="eastAsia"/>
        </w:rPr>
        <w:t>5</w:t>
      </w:r>
      <w:r>
        <w:t>％以上，就业岗位专业对口率8</w:t>
      </w:r>
      <w:r>
        <w:rPr>
          <w:rFonts w:hint="eastAsia"/>
        </w:rPr>
        <w:t>5</w:t>
      </w:r>
      <w:r>
        <w:t>%以上。专业毕业生起薪</w:t>
      </w:r>
      <w:r>
        <w:rPr>
          <w:rFonts w:hint="eastAsia"/>
        </w:rPr>
        <w:t>4023</w:t>
      </w:r>
      <w:r>
        <w:t>元，高于上海市文科专业学生的平均起薪。学生就业满意度8</w:t>
      </w:r>
      <w:r>
        <w:rPr>
          <w:rFonts w:hint="eastAsia"/>
        </w:rPr>
        <w:t>5</w:t>
      </w:r>
      <w:r>
        <w:t>.00%，高于全校平均77.94%。</w:t>
      </w:r>
    </w:p>
    <w:p>
      <w:pPr>
        <w:pStyle w:val="3"/>
        <w:spacing w:after="120" w:line="415" w:lineRule="auto"/>
        <w:jc w:val="left"/>
        <w:rPr>
          <w:rFonts w:ascii="宋体" w:hAnsi="宋体"/>
          <w:b w:val="0"/>
          <w:bCs w:val="0"/>
          <w:sz w:val="28"/>
          <w:szCs w:val="28"/>
        </w:rPr>
      </w:pPr>
      <w:bookmarkStart w:id="83" w:name="_Toc160195592"/>
      <w:r>
        <w:rPr>
          <w:rFonts w:ascii="宋体" w:hAnsi="宋体"/>
          <w:b w:val="0"/>
          <w:bCs w:val="0"/>
          <w:sz w:val="28"/>
          <w:szCs w:val="28"/>
        </w:rPr>
        <w:t>7.</w:t>
      </w:r>
      <w:r>
        <w:rPr>
          <w:rFonts w:hint="eastAsia" w:ascii="宋体" w:hAnsi="宋体"/>
          <w:b w:val="0"/>
          <w:bCs w:val="0"/>
          <w:sz w:val="28"/>
          <w:szCs w:val="28"/>
        </w:rPr>
        <w:t>学生发展</w:t>
      </w:r>
      <w:bookmarkEnd w:id="83"/>
    </w:p>
    <w:p>
      <w:pPr>
        <w:pStyle w:val="4"/>
        <w:rPr>
          <w:rFonts w:ascii="宋体" w:hAnsi="宋体" w:eastAsia="宋体"/>
          <w:b w:val="0"/>
          <w:bCs w:val="0"/>
          <w:sz w:val="24"/>
          <w:szCs w:val="24"/>
        </w:rPr>
      </w:pPr>
      <w:bookmarkStart w:id="84" w:name="_TOC_250024"/>
      <w:bookmarkEnd w:id="84"/>
      <w:bookmarkStart w:id="85" w:name="_Toc160195593"/>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85"/>
      <w:r>
        <w:rPr>
          <w:rFonts w:hint="eastAsia" w:ascii="宋体" w:hAnsi="宋体" w:eastAsia="宋体"/>
          <w:b w:val="0"/>
          <w:bCs w:val="0"/>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131</w:t>
            </w:r>
          </w:p>
        </w:tc>
      </w:tr>
      <w:tr>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0</w:t>
            </w:r>
          </w:p>
        </w:tc>
      </w:tr>
      <w:tr>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0</w:t>
            </w:r>
          </w:p>
        </w:tc>
      </w:tr>
      <w:tr>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0</w:t>
            </w:r>
          </w:p>
        </w:tc>
      </w:tr>
      <w:tr>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34</w:t>
            </w:r>
          </w:p>
        </w:tc>
      </w:tr>
      <w:tr>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45</w:t>
            </w:r>
          </w:p>
        </w:tc>
      </w:tr>
      <w:tr>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50</w:t>
            </w:r>
          </w:p>
        </w:tc>
      </w:tr>
      <w:tr>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2</w:t>
            </w:r>
          </w:p>
        </w:tc>
      </w:tr>
    </w:tbl>
    <w:p/>
    <w:p>
      <w:pPr>
        <w:pStyle w:val="4"/>
        <w:rPr>
          <w:rFonts w:ascii="宋体" w:hAnsi="宋体" w:eastAsia="宋体"/>
          <w:b w:val="0"/>
          <w:bCs w:val="0"/>
          <w:sz w:val="24"/>
          <w:szCs w:val="24"/>
        </w:rPr>
      </w:pPr>
      <w:bookmarkStart w:id="86" w:name="_Toc160195594"/>
      <w:r>
        <w:rPr>
          <w:rFonts w:ascii="宋体" w:hAnsi="宋体" w:eastAsia="宋体"/>
          <w:b w:val="0"/>
          <w:bCs w:val="0"/>
          <w:sz w:val="24"/>
          <w:szCs w:val="24"/>
        </w:rPr>
        <w:t>7.2专业招生录取率和新生报到率</w:t>
      </w:r>
      <w:bookmarkEnd w:id="8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c>
          <w:tcPr>
            <w:tcW w:w="1037" w:type="dxa"/>
            <w:vAlign w:val="center"/>
          </w:tcPr>
          <w:p>
            <w:pPr>
              <w:jc w:val="center"/>
              <w:rPr>
                <w:sz w:val="21"/>
                <w:szCs w:val="21"/>
              </w:rPr>
            </w:pPr>
            <w:r>
              <w:rPr>
                <w:rFonts w:hint="eastAsia"/>
                <w:sz w:val="21"/>
                <w:szCs w:val="21"/>
              </w:rPr>
              <w:t>省份</w:t>
            </w:r>
          </w:p>
        </w:tc>
        <w:tc>
          <w:tcPr>
            <w:tcW w:w="1037" w:type="dxa"/>
            <w:vAlign w:val="center"/>
          </w:tcPr>
          <w:p>
            <w:pPr>
              <w:jc w:val="center"/>
              <w:rPr>
                <w:sz w:val="21"/>
                <w:szCs w:val="21"/>
              </w:rPr>
            </w:pPr>
            <w:r>
              <w:rPr>
                <w:rFonts w:hint="eastAsia"/>
                <w:sz w:val="21"/>
                <w:szCs w:val="21"/>
              </w:rPr>
              <w:t>招生计划数</w:t>
            </w:r>
          </w:p>
        </w:tc>
        <w:tc>
          <w:tcPr>
            <w:tcW w:w="1037" w:type="dxa"/>
            <w:vAlign w:val="center"/>
          </w:tcPr>
          <w:p>
            <w:pPr>
              <w:jc w:val="center"/>
              <w:rPr>
                <w:sz w:val="21"/>
                <w:szCs w:val="21"/>
              </w:rPr>
            </w:pPr>
            <w:r>
              <w:rPr>
                <w:rFonts w:hint="eastAsia"/>
                <w:sz w:val="21"/>
                <w:szCs w:val="21"/>
              </w:rPr>
              <w:t>实际录取数</w:t>
            </w:r>
          </w:p>
        </w:tc>
        <w:tc>
          <w:tcPr>
            <w:tcW w:w="1037" w:type="dxa"/>
            <w:vAlign w:val="center"/>
          </w:tcPr>
          <w:p>
            <w:pPr>
              <w:jc w:val="center"/>
              <w:rPr>
                <w:sz w:val="21"/>
                <w:szCs w:val="21"/>
              </w:rPr>
            </w:pPr>
            <w:r>
              <w:rPr>
                <w:rFonts w:hint="eastAsia"/>
                <w:sz w:val="21"/>
                <w:szCs w:val="21"/>
              </w:rPr>
              <w:t>录取率</w:t>
            </w:r>
          </w:p>
        </w:tc>
        <w:tc>
          <w:tcPr>
            <w:tcW w:w="1037" w:type="dxa"/>
            <w:vAlign w:val="center"/>
          </w:tcPr>
          <w:p>
            <w:pPr>
              <w:jc w:val="center"/>
              <w:rPr>
                <w:sz w:val="21"/>
                <w:szCs w:val="21"/>
              </w:rPr>
            </w:pPr>
            <w:r>
              <w:rPr>
                <w:rFonts w:hint="eastAsia"/>
                <w:sz w:val="21"/>
                <w:szCs w:val="21"/>
              </w:rPr>
              <w:t>一志愿录取数</w:t>
            </w:r>
          </w:p>
        </w:tc>
        <w:tc>
          <w:tcPr>
            <w:tcW w:w="1037" w:type="dxa"/>
            <w:vAlign w:val="center"/>
          </w:tcPr>
          <w:p>
            <w:pPr>
              <w:jc w:val="center"/>
              <w:rPr>
                <w:sz w:val="21"/>
                <w:szCs w:val="21"/>
              </w:rPr>
            </w:pPr>
            <w:r>
              <w:rPr>
                <w:rFonts w:hint="eastAsia"/>
                <w:sz w:val="21"/>
                <w:szCs w:val="21"/>
              </w:rPr>
              <w:t>一志愿录取率</w:t>
            </w:r>
          </w:p>
        </w:tc>
        <w:tc>
          <w:tcPr>
            <w:tcW w:w="1037" w:type="dxa"/>
            <w:vAlign w:val="center"/>
          </w:tcPr>
          <w:p>
            <w:pPr>
              <w:jc w:val="center"/>
              <w:rPr>
                <w:sz w:val="21"/>
                <w:szCs w:val="21"/>
              </w:rPr>
            </w:pPr>
            <w:r>
              <w:rPr>
                <w:rFonts w:hint="eastAsia"/>
                <w:sz w:val="21"/>
                <w:szCs w:val="21"/>
              </w:rPr>
              <w:t>实际报到数</w:t>
            </w:r>
          </w:p>
        </w:tc>
        <w:tc>
          <w:tcPr>
            <w:tcW w:w="1037" w:type="dxa"/>
            <w:vAlign w:val="center"/>
          </w:tcPr>
          <w:p>
            <w:pPr>
              <w:jc w:val="center"/>
              <w:rPr>
                <w:sz w:val="21"/>
                <w:szCs w:val="21"/>
              </w:rPr>
            </w:pPr>
            <w:r>
              <w:rPr>
                <w:rFonts w:hint="eastAsia"/>
                <w:sz w:val="21"/>
                <w:szCs w:val="21"/>
              </w:rPr>
              <w:t>报到率</w:t>
            </w:r>
          </w:p>
        </w:tc>
      </w:tr>
      <w:tr>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c>
          <w:tcPr>
            <w:tcW w:w="1037" w:type="dxa"/>
            <w:vAlign w:val="center"/>
          </w:tcPr>
          <w:p>
            <w:pPr>
              <w:jc w:val="center"/>
              <w:rPr>
                <w:sz w:val="20"/>
                <w:szCs w:val="20"/>
              </w:rPr>
            </w:pPr>
            <w:r>
              <w:rPr>
                <w:sz w:val="20"/>
                <w:szCs w:val="20"/>
              </w:rPr>
              <w:t>--</w:t>
            </w:r>
          </w:p>
        </w:tc>
      </w:tr>
    </w:tbl>
    <w:p/>
    <w:p>
      <w:pPr>
        <w:pStyle w:val="4"/>
        <w:rPr>
          <w:rFonts w:ascii="宋体" w:hAnsi="宋体" w:eastAsia="宋体"/>
          <w:b w:val="0"/>
          <w:bCs w:val="0"/>
          <w:sz w:val="24"/>
          <w:szCs w:val="24"/>
        </w:rPr>
      </w:pPr>
      <w:bookmarkStart w:id="87" w:name="_Toc160195595"/>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8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c>
          <w:tcPr>
            <w:tcW w:w="3114" w:type="dxa"/>
            <w:vAlign w:val="center"/>
          </w:tcPr>
          <w:p>
            <w:pPr>
              <w:jc w:val="center"/>
              <w:rPr>
                <w:sz w:val="21"/>
                <w:szCs w:val="21"/>
              </w:rPr>
            </w:pPr>
            <w:bookmarkStart w:id="88" w:name="OLE_LINK53"/>
            <w:r>
              <w:rPr>
                <w:rFonts w:hint="eastAsia"/>
                <w:sz w:val="21"/>
                <w:szCs w:val="21"/>
              </w:rPr>
              <w:t>应届毕业生数</w:t>
            </w:r>
            <w:bookmarkEnd w:id="88"/>
          </w:p>
        </w:tc>
        <w:tc>
          <w:tcPr>
            <w:tcW w:w="1921" w:type="dxa"/>
            <w:vAlign w:val="center"/>
          </w:tcPr>
          <w:p>
            <w:pPr>
              <w:jc w:val="center"/>
              <w:rPr>
                <w:sz w:val="21"/>
                <w:szCs w:val="21"/>
              </w:rPr>
            </w:pPr>
            <w:r>
              <w:rPr>
                <w:sz w:val="21"/>
                <w:szCs w:val="21"/>
              </w:rPr>
              <w:t>44</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1</w:t>
            </w:r>
            <w:bookmarkStart w:id="89" w:name="OLE_LINK54"/>
            <w:bookmarkEnd w:id="89"/>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bookmarkStart w:id="90" w:name="OLE_LINK52"/>
            <w:r>
              <w:rPr>
                <w:rFonts w:hint="eastAsia"/>
                <w:sz w:val="21"/>
                <w:szCs w:val="21"/>
              </w:rPr>
              <w:t>毕业率（</w:t>
            </w:r>
            <w:r>
              <w:rPr>
                <w:sz w:val="21"/>
                <w:szCs w:val="21"/>
              </w:rPr>
              <w:t>%</w:t>
            </w:r>
            <w:r>
              <w:rPr>
                <w:rFonts w:hint="eastAsia"/>
                <w:sz w:val="21"/>
                <w:szCs w:val="21"/>
              </w:rPr>
              <w:t>）</w:t>
            </w:r>
            <w:bookmarkEnd w:id="90"/>
            <w:r>
              <w:rPr>
                <w:rFonts w:hint="eastAsia"/>
                <w:sz w:val="21"/>
                <w:szCs w:val="21"/>
              </w:rPr>
              <w:t xml:space="preserve"> </w:t>
            </w:r>
          </w:p>
        </w:tc>
        <w:tc>
          <w:tcPr>
            <w:tcW w:w="1921" w:type="dxa"/>
            <w:vAlign w:val="center"/>
          </w:tcPr>
          <w:p>
            <w:pPr>
              <w:jc w:val="center"/>
              <w:rPr>
                <w:sz w:val="21"/>
                <w:szCs w:val="21"/>
              </w:rPr>
            </w:pPr>
            <w:r>
              <w:rPr>
                <w:sz w:val="21"/>
                <w:szCs w:val="21"/>
              </w:rPr>
              <w:t>97.78</w:t>
            </w:r>
            <w:bookmarkStart w:id="91" w:name="OLE_LINK51"/>
            <w:bookmarkEnd w:id="91"/>
          </w:p>
        </w:tc>
        <w:tc>
          <w:tcPr>
            <w:tcW w:w="3261" w:type="dxa"/>
            <w:vAlign w:val="center"/>
          </w:tcPr>
          <w:p>
            <w:pPr>
              <w:jc w:val="center"/>
              <w:rPr>
                <w:sz w:val="21"/>
                <w:szCs w:val="21"/>
              </w:rPr>
            </w:pPr>
            <w:r>
              <w:rPr>
                <w:sz w:val="21"/>
                <w:szCs w:val="21"/>
              </w:rPr>
              <w:t>90.25</w:t>
            </w:r>
          </w:p>
        </w:tc>
      </w:tr>
      <w:tr>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42</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95.45</w:t>
            </w:r>
          </w:p>
        </w:tc>
        <w:tc>
          <w:tcPr>
            <w:tcW w:w="3261" w:type="dxa"/>
            <w:vAlign w:val="center"/>
          </w:tcPr>
          <w:p>
            <w:pPr>
              <w:jc w:val="center"/>
              <w:rPr>
                <w:sz w:val="21"/>
                <w:szCs w:val="21"/>
              </w:rPr>
            </w:pPr>
            <w:r>
              <w:rPr>
                <w:sz w:val="21"/>
                <w:szCs w:val="21"/>
              </w:rPr>
              <w:t>97.72</w:t>
            </w:r>
          </w:p>
        </w:tc>
      </w:tr>
      <w:tr>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43</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97.73</w:t>
            </w:r>
          </w:p>
        </w:tc>
        <w:tc>
          <w:tcPr>
            <w:tcW w:w="3261" w:type="dxa"/>
            <w:vAlign w:val="center"/>
          </w:tcPr>
          <w:p>
            <w:pPr>
              <w:jc w:val="center"/>
              <w:rPr>
                <w:sz w:val="21"/>
                <w:szCs w:val="21"/>
              </w:rPr>
            </w:pPr>
            <w:r>
              <w:rPr>
                <w:sz w:val="21"/>
                <w:szCs w:val="21"/>
              </w:rPr>
              <w:t>95.87</w:t>
            </w:r>
          </w:p>
        </w:tc>
      </w:tr>
    </w:tbl>
    <w:p/>
    <w:p>
      <w:pPr>
        <w:pStyle w:val="4"/>
        <w:rPr>
          <w:rFonts w:ascii="宋体" w:hAnsi="宋体" w:eastAsia="宋体"/>
          <w:b w:val="0"/>
          <w:bCs w:val="0"/>
          <w:sz w:val="24"/>
          <w:szCs w:val="24"/>
        </w:rPr>
      </w:pPr>
      <w:bookmarkStart w:id="92" w:name="_Toc160195596"/>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92"/>
    </w:p>
    <w:p>
      <w:pPr>
        <w:pStyle w:val="26"/>
        <w:tabs>
          <w:tab w:val="left" w:pos="681"/>
        </w:tabs>
        <w:spacing w:before="0" w:beforeAutospacing="0" w:after="32" w:afterAutospacing="0" w:line="360" w:lineRule="auto"/>
        <w:ind w:firstLine="480" w:firstLineChars="200"/>
      </w:pPr>
      <w:r>
        <w:rPr>
          <w:rFonts w:hint="eastAsia"/>
        </w:rPr>
        <w:t>专业每学期均会召开“学风建设”系列活动。从新生入学教育开始，就会以“开学第一课”的方式，组织开展有关遵守校纪校规和学业生涯规划的主题活动。针对各年级的同学的学习特点，专业均会进行有针对性的学风建设活动。除了专项活动之外，学风建设也会融入到学生的日常学习生活中，如强化班级管理、严格上课考勤、严把请假手续。通过日常持之以恒的学风管理，辅导员、学生导师、课程教师、学院学校等多方共同严抓学风管理，成效显著。学生的学习积极性提高、课堂学习态度更加认真、大多数学生都能坚持晚自学、参加各项创新实践或社会性和公益性活动更加踊跃</w:t>
      </w:r>
    </w:p>
    <w:p>
      <w:pPr>
        <w:pStyle w:val="26"/>
        <w:tabs>
          <w:tab w:val="left" w:pos="681"/>
        </w:tabs>
        <w:spacing w:before="0" w:beforeAutospacing="0" w:after="32" w:afterAutospacing="0" w:line="360" w:lineRule="auto"/>
        <w:ind w:firstLine="480" w:firstLineChars="200"/>
      </w:pPr>
      <w:r>
        <w:rPr>
          <w:rFonts w:hint="eastAsia"/>
        </w:rPr>
        <w:t>劳动与社会保障专业本着“创优争先看行动，学风建设我先行”的理念，坚持“教育引导与规范管理相结合”、“分工负责与齐抓共管相结合”、“过程控制与目标管理相结合”和“学校教育与学生自我教育相结合”，积极开展了“学风建设”活动。</w:t>
      </w:r>
    </w:p>
    <w:p>
      <w:pPr>
        <w:pStyle w:val="26"/>
        <w:tabs>
          <w:tab w:val="left" w:pos="681"/>
        </w:tabs>
        <w:spacing w:before="0" w:beforeAutospacing="0" w:after="32" w:afterAutospacing="0" w:line="360" w:lineRule="auto"/>
        <w:ind w:firstLine="480" w:firstLineChars="200"/>
        <w:rPr>
          <w:rFonts w:hint="eastAsia"/>
        </w:rPr>
      </w:pPr>
      <w:r>
        <w:rPr>
          <w:rFonts w:hint="eastAsia"/>
        </w:rPr>
        <w:t>专业以“学风考勤”为中心，以“声声晨读社”和“晚自习制度”为两个基本点，坚持对早晚自学的要求，专业绝大多数同学能够坚持早晚自学。通过学风建设，学生的学习积极性提高、课堂学习态度更加认真、参加各项创新实践或社会性和公益性活动更加踊跃。本学年学生上课出勤率平均水平在</w:t>
      </w:r>
      <w:r>
        <w:t>96%以上，迟到率平均为4.3%。在本校奖学金评选中，学生获奖比例较高。本专业学生积极参加社会实践活动；热心社会公益活动，积极参加学校组织的各种有益的文体活动。本学年学生志愿者活动的参与率基本达到全覆盖。</w:t>
      </w:r>
    </w:p>
    <w:p>
      <w:pPr>
        <w:pStyle w:val="26"/>
        <w:tabs>
          <w:tab w:val="left" w:pos="681"/>
        </w:tabs>
        <w:spacing w:before="0" w:beforeAutospacing="0" w:after="32" w:afterAutospacing="0" w:line="360" w:lineRule="auto"/>
        <w:ind w:firstLine="480" w:firstLineChars="200"/>
        <w:rPr>
          <w:rFonts w:hint="eastAsia"/>
        </w:rPr>
      </w:pPr>
      <w:r>
        <w:rPr>
          <w:rFonts w:hint="eastAsia"/>
          <w:color w:val="333333"/>
        </w:rPr>
        <w:t>通过学风建设，学生学习成效继续提高。本年度劳动与社会保障专业学生参加全国英语四级考试CET4通过率</w:t>
      </w:r>
      <w:r>
        <w:rPr>
          <w:color w:val="333333"/>
        </w:rPr>
        <w:t>85</w:t>
      </w:r>
      <w:r>
        <w:rPr>
          <w:rFonts w:hint="eastAsia"/>
          <w:color w:val="333333"/>
        </w:rPr>
        <w:t>%，六级CET6通过率</w:t>
      </w:r>
      <w:r>
        <w:rPr>
          <w:color w:val="333333"/>
        </w:rPr>
        <w:t>4</w:t>
      </w:r>
      <w:r>
        <w:rPr>
          <w:rFonts w:hint="eastAsia"/>
          <w:color w:val="333333"/>
        </w:rPr>
        <w:t>6%。</w:t>
      </w:r>
    </w:p>
    <w:p>
      <w:pPr>
        <w:pStyle w:val="3"/>
        <w:spacing w:after="120" w:line="415" w:lineRule="auto"/>
        <w:jc w:val="left"/>
        <w:rPr>
          <w:rFonts w:ascii="宋体" w:hAnsi="宋体"/>
          <w:sz w:val="28"/>
          <w:szCs w:val="28"/>
        </w:rPr>
      </w:pPr>
      <w:bookmarkStart w:id="93" w:name="_Toc160195597"/>
      <w:r>
        <w:rPr>
          <w:rFonts w:ascii="宋体" w:hAnsi="宋体"/>
          <w:sz w:val="28"/>
          <w:szCs w:val="28"/>
        </w:rPr>
        <w:t>8.</w:t>
      </w:r>
      <w:r>
        <w:rPr>
          <w:rFonts w:hint="eastAsia" w:ascii="宋体" w:hAnsi="宋体"/>
          <w:sz w:val="28"/>
          <w:szCs w:val="28"/>
        </w:rPr>
        <w:t>特色发展与案例</w:t>
      </w:r>
      <w:bookmarkEnd w:id="93"/>
    </w:p>
    <w:p>
      <w:pPr>
        <w:shd w:val="clear" w:color="auto" w:fill="FFFFFF"/>
        <w:snapToGrid w:val="0"/>
        <w:spacing w:line="360" w:lineRule="auto"/>
        <w:jc w:val="both"/>
        <w:rPr>
          <w:color w:val="333333"/>
        </w:rPr>
      </w:pPr>
      <w:r>
        <w:rPr>
          <w:rFonts w:hint="eastAsia"/>
          <w:color w:val="333333"/>
        </w:rPr>
        <w:t>（</w:t>
      </w:r>
      <w:r>
        <w:rPr>
          <w:color w:val="333333"/>
        </w:rPr>
        <w:t>1）积极融入国家战略，聚焦</w:t>
      </w:r>
      <w:r>
        <w:rPr>
          <w:rFonts w:hint="eastAsia"/>
          <w:color w:val="333333"/>
        </w:rPr>
        <w:t>社会保障改革与发展</w:t>
      </w:r>
      <w:r>
        <w:rPr>
          <w:color w:val="333333"/>
        </w:rPr>
        <w:t>，优化课程体系</w:t>
      </w:r>
    </w:p>
    <w:p>
      <w:pPr>
        <w:shd w:val="clear" w:color="auto" w:fill="FFFFFF"/>
        <w:snapToGrid w:val="0"/>
        <w:spacing w:line="360" w:lineRule="auto"/>
        <w:ind w:firstLine="470" w:firstLineChars="196"/>
        <w:jc w:val="both"/>
        <w:rPr>
          <w:rFonts w:hint="eastAsia"/>
          <w:color w:val="333333"/>
        </w:rPr>
      </w:pPr>
      <w:r>
        <w:rPr>
          <w:rFonts w:hint="eastAsia"/>
          <w:color w:val="333333"/>
        </w:rPr>
        <w:t>“劳动与社会保障”本科专业坚持立德树人，坚持“新文科”建设方向，深化专业综合改革，探索了“围绕一个目标，做到二个坚持”教学改革路径。围绕一个目标是：构筑培养高素质应用型创新人才的本科教学体系。做到二个坚持是：坚持适应新时代国家发展对劳动与社会保障领域高素质专业管理人才的需求；坚持贯彻实施产学研紧密结合的办学模式和人才培养模式。在上述专业建设理念的指导下，聚焦应对国家人口老龄化和“健康中国战略”的人才需求，建构学生综合素质和创新能力培养的教学体系。</w:t>
      </w:r>
    </w:p>
    <w:p>
      <w:pPr>
        <w:shd w:val="clear" w:color="auto" w:fill="FFFFFF"/>
        <w:snapToGrid w:val="0"/>
        <w:spacing w:line="360" w:lineRule="auto"/>
        <w:ind w:firstLine="480" w:firstLineChars="200"/>
        <w:jc w:val="both"/>
        <w:rPr>
          <w:color w:val="333333"/>
        </w:rPr>
      </w:pPr>
      <w:r>
        <w:rPr>
          <w:rFonts w:hint="eastAsia"/>
          <w:color w:val="333333"/>
        </w:rPr>
        <w:t>本专业的人才培养模式旨在积极融入国家战略，紧密聚焦社会保障改革与发展，以满足社会的需求和挑战。该模式体现了坚持人才培养与社会需要相适应的理念，注重产学合作的人才培养方式，以及强调人格塑造的人才培养过程。其中，人格塑造、素质拓展和创新能力训练三者统一，共同构成了专业的人才培养特色。通过培养方案的精心设计，专业课程的调整与学科门类的相关基础课程的依托，专业培养方案与社会需求紧密对接，进一步增强了专业的特色和实用性。</w:t>
      </w:r>
    </w:p>
    <w:p>
      <w:pPr>
        <w:shd w:val="clear" w:color="auto" w:fill="FFFFFF"/>
        <w:snapToGrid w:val="0"/>
        <w:spacing w:line="360" w:lineRule="auto"/>
        <w:jc w:val="both"/>
        <w:rPr>
          <w:color w:val="333333"/>
        </w:rPr>
      </w:pPr>
      <w:r>
        <w:rPr>
          <w:rFonts w:hint="eastAsia"/>
          <w:color w:val="333333"/>
        </w:rPr>
        <w:t>（2）构建了培养综合素质的课程体系。</w:t>
      </w:r>
    </w:p>
    <w:p>
      <w:pPr>
        <w:shd w:val="clear" w:color="auto" w:fill="FFFFFF"/>
        <w:snapToGrid w:val="0"/>
        <w:spacing w:line="360" w:lineRule="auto"/>
        <w:ind w:firstLine="480" w:firstLineChars="200"/>
        <w:jc w:val="both"/>
        <w:rPr>
          <w:color w:val="333333"/>
        </w:rPr>
      </w:pPr>
      <w:r>
        <w:rPr>
          <w:rFonts w:hint="eastAsia"/>
          <w:color w:val="333333"/>
        </w:rPr>
        <w:t>建立了依托主干学科，多学科复合的课程体系。形成了四个模块即：“经济学、管理学、社会学、公共管理学”的劳动与社会保障专业基础知识结构的课程体系，使学生获得综合性较强的跨学科训练，尤其是获得文理交叉学科的训练。同时，本专业建设了“社会保障国际比较”、“管理信息系统”等6门全英语课程。</w:t>
      </w:r>
    </w:p>
    <w:p>
      <w:pPr>
        <w:shd w:val="clear" w:color="auto" w:fill="FFFFFF"/>
        <w:snapToGrid w:val="0"/>
        <w:spacing w:line="360" w:lineRule="auto"/>
        <w:jc w:val="both"/>
        <w:rPr>
          <w:color w:val="333333"/>
        </w:rPr>
      </w:pPr>
      <w:r>
        <w:rPr>
          <w:rFonts w:hint="eastAsia"/>
          <w:color w:val="333333"/>
        </w:rPr>
        <w:t>（3）构建了培养创新能力的探究型教学体系。</w:t>
      </w:r>
    </w:p>
    <w:p>
      <w:pPr>
        <w:shd w:val="clear" w:color="auto" w:fill="FFFFFF"/>
        <w:snapToGrid w:val="0"/>
        <w:spacing w:line="360" w:lineRule="auto"/>
        <w:ind w:firstLine="480" w:firstLineChars="200"/>
        <w:jc w:val="both"/>
        <w:rPr>
          <w:color w:val="333333"/>
        </w:rPr>
      </w:pPr>
      <w:r>
        <w:rPr>
          <w:rFonts w:hint="eastAsia"/>
          <w:color w:val="333333"/>
        </w:rPr>
        <w:t>其一，围绕探究型教学目标，重点对专业核心课程实施了教学改革探索。探索了将传统的教师主体型教学模式转变为教师主导型教学模式，即采用研讨式、参与式教学方式 ,师生共同完成教学授课,学生参与教学活动整个过程,课上师生深度交流,课后师生共同探究，以研促教，注重科研反哺教学，丰富了教学案例，激发了学生学习主动性，培养了学生创新能力。其二，将劳动与社会保障学科前沿问题引入课堂教学。教师组织学生直接参加现实的重大课题研究。其三，推动课内理论学习和课外探究学习的有机结合。为每一位本科生配备了学业导师，将学生分成若干学习小组，或参加教师科研课题组，或者组织开展创新课题研究。探究型教学将学生带到了学科前沿，激发了学生对专业问题研究的兴趣，培育了创新能力。</w:t>
      </w:r>
    </w:p>
    <w:p>
      <w:pPr>
        <w:shd w:val="clear" w:color="auto" w:fill="FFFFFF"/>
        <w:snapToGrid w:val="0"/>
        <w:spacing w:line="360" w:lineRule="auto"/>
        <w:jc w:val="both"/>
        <w:rPr>
          <w:color w:val="333333"/>
        </w:rPr>
      </w:pPr>
      <w:r>
        <w:rPr>
          <w:rFonts w:hint="eastAsia"/>
          <w:color w:val="333333"/>
        </w:rPr>
        <w:t>（4）培养实践能力的应用型实践教学体系。</w:t>
      </w:r>
    </w:p>
    <w:p>
      <w:pPr>
        <w:shd w:val="clear" w:color="auto" w:fill="FFFFFF"/>
        <w:snapToGrid w:val="0"/>
        <w:spacing w:line="360" w:lineRule="auto"/>
        <w:ind w:firstLine="480" w:firstLineChars="200"/>
        <w:jc w:val="both"/>
        <w:rPr>
          <w:color w:val="333333"/>
        </w:rPr>
      </w:pPr>
      <w:r>
        <w:rPr>
          <w:rFonts w:hint="eastAsia"/>
          <w:color w:val="333333"/>
        </w:rPr>
        <w:t>劳动与社会保障专业构筑了贯穿四年实践教学体系，由二个部分组成：其一，专业四年分别设置了“社会认知实习”、“专题调研实习”、“岗位实习”和“定量分析技术实验”四个环节的实践教学活动。其二，构建了20余个专业实习基地。上述教学改革在培养新时代大学生综合素养和创新能力方面发挥重要作用。学生专业基础知识扎实，专业实践能力很强。学生获全国“挑战杯”、数模竞赛、英语竞赛等国家级奖10余项，获国家大学生科研训练计划、创新创业训练计划20项，发表学术论文50余篇。学生就业率达到100%，就业岗位专业对口率达到80%</w:t>
      </w:r>
    </w:p>
    <w:p/>
    <w:p>
      <w:pPr>
        <w:pStyle w:val="3"/>
        <w:spacing w:after="120" w:line="360" w:lineRule="auto"/>
        <w:jc w:val="left"/>
        <w:rPr>
          <w:rFonts w:ascii="宋体" w:hAnsi="宋体"/>
          <w:sz w:val="28"/>
          <w:szCs w:val="28"/>
        </w:rPr>
      </w:pPr>
      <w:bookmarkStart w:id="94" w:name="_Toc160195598"/>
      <w:r>
        <w:rPr>
          <w:rFonts w:ascii="宋体" w:hAnsi="宋体"/>
          <w:sz w:val="28"/>
          <w:szCs w:val="28"/>
        </w:rPr>
        <w:t>9.</w:t>
      </w:r>
      <w:r>
        <w:rPr>
          <w:rFonts w:hint="eastAsia" w:ascii="宋体" w:hAnsi="宋体"/>
          <w:sz w:val="28"/>
          <w:szCs w:val="28"/>
        </w:rPr>
        <w:t>问题与对策</w:t>
      </w:r>
      <w:bookmarkEnd w:id="94"/>
    </w:p>
    <w:p>
      <w:pPr>
        <w:pStyle w:val="4"/>
        <w:spacing w:line="360" w:lineRule="auto"/>
        <w:rPr>
          <w:rFonts w:ascii="宋体" w:hAnsi="宋体" w:eastAsia="宋体"/>
          <w:b w:val="0"/>
          <w:bCs w:val="0"/>
          <w:sz w:val="24"/>
          <w:szCs w:val="24"/>
        </w:rPr>
      </w:pPr>
      <w:bookmarkStart w:id="95" w:name="_Toc160195599"/>
      <w:r>
        <w:rPr>
          <w:rFonts w:hint="eastAsia" w:ascii="宋体" w:hAnsi="宋体" w:eastAsia="宋体"/>
          <w:b w:val="0"/>
          <w:bCs w:val="0"/>
          <w:sz w:val="24"/>
          <w:szCs w:val="24"/>
        </w:rPr>
        <w:t>9.1</w:t>
      </w:r>
      <w:r>
        <w:rPr>
          <w:rFonts w:ascii="宋体" w:hAnsi="宋体" w:eastAsia="宋体"/>
          <w:b w:val="0"/>
          <w:bCs w:val="0"/>
          <w:sz w:val="24"/>
          <w:szCs w:val="24"/>
        </w:rPr>
        <w:t xml:space="preserve"> </w:t>
      </w:r>
      <w:r>
        <w:rPr>
          <w:rFonts w:hint="eastAsia" w:ascii="宋体" w:hAnsi="宋体" w:eastAsia="宋体"/>
          <w:b w:val="0"/>
          <w:bCs w:val="0"/>
          <w:sz w:val="24"/>
          <w:szCs w:val="24"/>
        </w:rPr>
        <w:t>存在的问题</w:t>
      </w:r>
      <w:bookmarkEnd w:id="95"/>
    </w:p>
    <w:p>
      <w:pPr>
        <w:spacing w:line="360" w:lineRule="auto"/>
        <w:ind w:firstLine="480" w:firstLineChars="200"/>
      </w:pPr>
      <w:r>
        <w:rPr>
          <w:rFonts w:hint="eastAsia"/>
        </w:rPr>
        <w:t>按照本年度教育部本科教育教学审核评估中专家给出的评估意见，结合本专业教育教学运行中的实际情况。我们认为目前专业的发展中还存在以下问题：</w:t>
      </w:r>
    </w:p>
    <w:p>
      <w:pPr>
        <w:spacing w:line="360" w:lineRule="auto"/>
        <w:ind w:firstLine="480" w:firstLineChars="200"/>
      </w:pPr>
      <w:r>
        <w:rPr>
          <w:rFonts w:hint="eastAsia"/>
        </w:rPr>
        <w:t>（1）</w:t>
      </w:r>
      <w:r>
        <w:t>专业大类一志愿率有所降低</w:t>
      </w:r>
      <w:r>
        <w:rPr>
          <w:rFonts w:hint="eastAsia"/>
        </w:rPr>
        <w:t>。近两年的专业大类招生中，一志愿录取数据略有下降。</w:t>
      </w:r>
    </w:p>
    <w:p>
      <w:pPr>
        <w:spacing w:line="360" w:lineRule="auto"/>
        <w:ind w:firstLine="480" w:firstLineChars="200"/>
        <w:rPr>
          <w:rFonts w:hint="eastAsia"/>
        </w:rPr>
      </w:pPr>
      <w:r>
        <w:rPr>
          <w:rFonts w:hint="eastAsia"/>
        </w:rPr>
        <w:t>（2）专业课程设置上国际前沿视野尚有欠缺。专业教师尚缺少在国际上本行业本领域内知名学术期刊发表成果。课程内容相对缺少对社会保障国际最新发展趋势和制度实践的介绍。</w:t>
      </w:r>
    </w:p>
    <w:p>
      <w:pPr>
        <w:spacing w:line="360" w:lineRule="auto"/>
        <w:ind w:firstLine="480" w:firstLineChars="200"/>
        <w:rPr>
          <w:rFonts w:hint="eastAsia"/>
        </w:rPr>
      </w:pPr>
      <w:r>
        <w:rPr>
          <w:rFonts w:hint="eastAsia"/>
        </w:rPr>
        <w:t>（3）专业定位与人才培养面临外部环境变化的挑战。随着国家科技、教育战略和上海市地方科技、教育发展战略的调整，劳动与社会保障等社科类文科专业面临招生名额调减、经费投入缩减等现实的外部冲击。</w:t>
      </w:r>
    </w:p>
    <w:p>
      <w:pPr>
        <w:spacing w:line="360" w:lineRule="auto"/>
        <w:ind w:firstLine="480" w:firstLineChars="200"/>
        <w:rPr>
          <w:rFonts w:hint="eastAsia"/>
        </w:rPr>
      </w:pPr>
      <w:r>
        <w:rPr>
          <w:rFonts w:hint="eastAsia"/>
        </w:rPr>
        <w:t>（4）实践实习基地有待拓展。现有实习基地以政府基层人力资源与社会保障部门及基层行政部门为主，没有很好的与教学改革、智慧教学相衔接。</w:t>
      </w:r>
    </w:p>
    <w:p>
      <w:pPr>
        <w:spacing w:line="360" w:lineRule="auto"/>
        <w:ind w:firstLine="480" w:firstLineChars="200"/>
        <w:rPr>
          <w:rFonts w:hint="eastAsia"/>
        </w:rPr>
      </w:pPr>
      <w:r>
        <w:rPr>
          <w:rFonts w:hint="eastAsia"/>
        </w:rPr>
        <w:t>（5）对标国际商学院</w:t>
      </w:r>
      <w:r>
        <w:t>AACSB认证</w:t>
      </w:r>
      <w:r>
        <w:rPr>
          <w:rFonts w:hint="eastAsia"/>
        </w:rPr>
        <w:t>标准尚有敞口。</w:t>
      </w:r>
    </w:p>
    <w:p>
      <w:pPr>
        <w:spacing w:line="360" w:lineRule="auto"/>
        <w:ind w:firstLine="480" w:firstLineChars="200"/>
      </w:pPr>
    </w:p>
    <w:p>
      <w:pPr>
        <w:pStyle w:val="4"/>
        <w:spacing w:line="360" w:lineRule="auto"/>
        <w:rPr>
          <w:rFonts w:ascii="宋体" w:hAnsi="宋体" w:eastAsia="宋体"/>
          <w:b w:val="0"/>
          <w:bCs w:val="0"/>
          <w:sz w:val="24"/>
          <w:szCs w:val="24"/>
        </w:rPr>
      </w:pPr>
      <w:bookmarkStart w:id="96" w:name="_Toc160195600"/>
      <w:r>
        <w:rPr>
          <w:rFonts w:hint="eastAsia" w:ascii="宋体" w:hAnsi="宋体" w:eastAsia="宋体"/>
          <w:b w:val="0"/>
          <w:bCs w:val="0"/>
          <w:sz w:val="24"/>
          <w:szCs w:val="24"/>
        </w:rPr>
        <w:t>9.2</w:t>
      </w:r>
      <w:r>
        <w:rPr>
          <w:rFonts w:ascii="宋体" w:hAnsi="宋体" w:eastAsia="宋体"/>
          <w:b w:val="0"/>
          <w:bCs w:val="0"/>
          <w:sz w:val="24"/>
          <w:szCs w:val="24"/>
        </w:rPr>
        <w:t xml:space="preserve"> </w:t>
      </w:r>
      <w:r>
        <w:rPr>
          <w:rFonts w:hint="eastAsia" w:ascii="宋体" w:hAnsi="宋体" w:eastAsia="宋体"/>
          <w:b w:val="0"/>
          <w:bCs w:val="0"/>
          <w:sz w:val="24"/>
          <w:szCs w:val="24"/>
        </w:rPr>
        <w:t>对策</w:t>
      </w:r>
      <w:bookmarkEnd w:id="96"/>
    </w:p>
    <w:p>
      <w:pPr>
        <w:spacing w:line="360" w:lineRule="auto"/>
        <w:ind w:firstLine="480" w:firstLineChars="200"/>
        <w:rPr>
          <w:rFonts w:hint="eastAsia"/>
        </w:rPr>
      </w:pPr>
      <w:r>
        <w:rPr>
          <w:rFonts w:hint="eastAsia"/>
        </w:rPr>
        <w:t>针对以上问题，专业组织教师和行业专家进行研讨，认为应当从以下几个方向进行改进和加强：</w:t>
      </w:r>
    </w:p>
    <w:p>
      <w:pPr>
        <w:spacing w:line="360" w:lineRule="auto"/>
        <w:rPr>
          <w:rFonts w:hint="eastAsia"/>
        </w:rPr>
      </w:pPr>
      <w:r>
        <w:rPr>
          <w:rFonts w:hint="eastAsia"/>
        </w:rPr>
        <w:t>（1）通过加大招生宣传宣讲力度，进一步</w:t>
      </w:r>
      <w:r>
        <w:t>提升专业吸引</w:t>
      </w:r>
      <w:r>
        <w:rPr>
          <w:rFonts w:hint="eastAsia"/>
        </w:rPr>
        <w:t>力。</w:t>
      </w:r>
    </w:p>
    <w:p>
      <w:pPr>
        <w:spacing w:line="360" w:lineRule="auto"/>
        <w:rPr>
          <w:rFonts w:hint="eastAsia"/>
        </w:rPr>
      </w:pPr>
      <w:r>
        <w:rPr>
          <w:rFonts w:hint="eastAsia"/>
        </w:rPr>
        <w:t>（2）</w:t>
      </w:r>
      <w:r>
        <w:t>专业课程设置上可以考虑增加劳动与社会保障前沿讲座，关注对学生在国际国内学术前沿方面的引导；</w:t>
      </w:r>
      <w:r>
        <w:rPr>
          <w:rFonts w:hint="eastAsia"/>
        </w:rPr>
        <w:t>进一步加强基于</w:t>
      </w:r>
      <w:r>
        <w:t>ChatGPT等现代人工智能知识体系和数字经济的课程设置，如开设人工智能、大数据等相关课程</w:t>
      </w:r>
      <w:r>
        <w:rPr>
          <w:rFonts w:hint="eastAsia"/>
        </w:rPr>
        <w:t>。</w:t>
      </w:r>
    </w:p>
    <w:p>
      <w:pPr>
        <w:spacing w:line="360" w:lineRule="auto"/>
      </w:pPr>
      <w:r>
        <w:rPr>
          <w:rFonts w:hint="eastAsia"/>
        </w:rPr>
        <w:t>（3）</w:t>
      </w:r>
      <w:r>
        <w:t>进一步优化专业定位和人才培养目标；注重毕业生和用人单位</w:t>
      </w:r>
      <w:r>
        <w:rPr>
          <w:rFonts w:hint="eastAsia"/>
        </w:rPr>
        <w:t>对培养目标的反馈。</w:t>
      </w:r>
    </w:p>
    <w:p>
      <w:pPr>
        <w:spacing w:line="360" w:lineRule="auto"/>
      </w:pPr>
      <w:r>
        <w:rPr>
          <w:rFonts w:hint="eastAsia"/>
        </w:rPr>
        <w:t>（4）</w:t>
      </w:r>
      <w:r>
        <w:t>进一步拓展新的实践基地。进一步加强教学改革，推进智慧教学、案例教学和实践基地现场教学。</w:t>
      </w:r>
      <w:r>
        <w:rPr>
          <w:rFonts w:hint="eastAsia"/>
        </w:rPr>
        <w:t>进一步发挥合作教育优势，为加强劳动教育，提高学生在生产实践中发现问题和创造性解决问题的能力；继续与上海市相关政府部门、事业单位、企业人事部门建立紧密的产学研合作关系，争取在下一年度达成与上海市大数据中心、上海市人工智能实验室等单位的实习基地建设。建设一批一流的产学合作实习基地、专业建设科研基地、管理咨询前沿基地。</w:t>
      </w:r>
    </w:p>
    <w:p>
      <w:pPr>
        <w:spacing w:line="360" w:lineRule="auto"/>
        <w:rPr>
          <w:rFonts w:hint="eastAsia"/>
        </w:rPr>
      </w:pPr>
      <w:r>
        <w:rPr>
          <w:rFonts w:hint="eastAsia"/>
        </w:rPr>
        <w:t>（5）通过</w:t>
      </w:r>
      <w:r>
        <w:t>AACSB认证的推进，对标国际商学院管理模式，进一步提升课程教学规范及加强教学质量的监控和质量管理体系的建设。</w:t>
      </w:r>
      <w:r>
        <w:rPr>
          <w:rFonts w:hint="eastAsia"/>
        </w:rPr>
        <w:t>根据社会发展需要、人才成长规律和学术发展前沿，确定教学建设和改革方向；优化课程结构，打造“金课”体系，构建以“一流特色课程”“一流专业教材”“一流实践基地”为基础，高质量的专业“金课”课程体系；以学生为中心，通过线上线下混合教学、启发式教学、案例教学、项目式教学、研究性学习等课堂教学手段和方法，增强师生互动，帮助学生成为主动学习者。</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376E8"/>
    <w:rsid w:val="000827A3"/>
    <w:rsid w:val="00092B09"/>
    <w:rsid w:val="000A4A8E"/>
    <w:rsid w:val="000A6EA2"/>
    <w:rsid w:val="000B2965"/>
    <w:rsid w:val="000C3E1A"/>
    <w:rsid w:val="000C5096"/>
    <w:rsid w:val="000D257F"/>
    <w:rsid w:val="000E14E9"/>
    <w:rsid w:val="000E6FA3"/>
    <w:rsid w:val="00125F3F"/>
    <w:rsid w:val="00141505"/>
    <w:rsid w:val="00144E85"/>
    <w:rsid w:val="001535F0"/>
    <w:rsid w:val="00156644"/>
    <w:rsid w:val="00164DCB"/>
    <w:rsid w:val="00165054"/>
    <w:rsid w:val="00176907"/>
    <w:rsid w:val="00191D7C"/>
    <w:rsid w:val="001944A0"/>
    <w:rsid w:val="001B189D"/>
    <w:rsid w:val="001D2E93"/>
    <w:rsid w:val="001D66EF"/>
    <w:rsid w:val="001F1060"/>
    <w:rsid w:val="002005D2"/>
    <w:rsid w:val="002123E7"/>
    <w:rsid w:val="00225EF1"/>
    <w:rsid w:val="00242E0B"/>
    <w:rsid w:val="00263B5B"/>
    <w:rsid w:val="002814D0"/>
    <w:rsid w:val="002A4CDF"/>
    <w:rsid w:val="002B12CF"/>
    <w:rsid w:val="002F4257"/>
    <w:rsid w:val="003073FD"/>
    <w:rsid w:val="00337A06"/>
    <w:rsid w:val="00351F91"/>
    <w:rsid w:val="00356E3E"/>
    <w:rsid w:val="00360200"/>
    <w:rsid w:val="00383CB3"/>
    <w:rsid w:val="003A5DC9"/>
    <w:rsid w:val="003B5743"/>
    <w:rsid w:val="003B5821"/>
    <w:rsid w:val="003D4237"/>
    <w:rsid w:val="003E3C59"/>
    <w:rsid w:val="003E684A"/>
    <w:rsid w:val="003F7065"/>
    <w:rsid w:val="00400D8F"/>
    <w:rsid w:val="0043005D"/>
    <w:rsid w:val="00431FF5"/>
    <w:rsid w:val="00442D61"/>
    <w:rsid w:val="0047679D"/>
    <w:rsid w:val="00485557"/>
    <w:rsid w:val="004861AE"/>
    <w:rsid w:val="0049281E"/>
    <w:rsid w:val="00492D16"/>
    <w:rsid w:val="004A29AB"/>
    <w:rsid w:val="004C4E32"/>
    <w:rsid w:val="004C5078"/>
    <w:rsid w:val="004D3393"/>
    <w:rsid w:val="004E18DE"/>
    <w:rsid w:val="0054186C"/>
    <w:rsid w:val="005C4D52"/>
    <w:rsid w:val="005E7060"/>
    <w:rsid w:val="00605D42"/>
    <w:rsid w:val="00644138"/>
    <w:rsid w:val="00652619"/>
    <w:rsid w:val="00656F39"/>
    <w:rsid w:val="00662EA1"/>
    <w:rsid w:val="00663B33"/>
    <w:rsid w:val="0067425A"/>
    <w:rsid w:val="00683F17"/>
    <w:rsid w:val="006F1096"/>
    <w:rsid w:val="00700D90"/>
    <w:rsid w:val="0071499E"/>
    <w:rsid w:val="007165BA"/>
    <w:rsid w:val="007225BC"/>
    <w:rsid w:val="00727DD0"/>
    <w:rsid w:val="00730C50"/>
    <w:rsid w:val="007549AC"/>
    <w:rsid w:val="0075762C"/>
    <w:rsid w:val="0078195A"/>
    <w:rsid w:val="007849F0"/>
    <w:rsid w:val="0079395C"/>
    <w:rsid w:val="007A5545"/>
    <w:rsid w:val="007C5E14"/>
    <w:rsid w:val="007D62B4"/>
    <w:rsid w:val="007E3FE5"/>
    <w:rsid w:val="007E49C2"/>
    <w:rsid w:val="007F2627"/>
    <w:rsid w:val="00816350"/>
    <w:rsid w:val="00836A73"/>
    <w:rsid w:val="00840DC7"/>
    <w:rsid w:val="008471D9"/>
    <w:rsid w:val="00877FB8"/>
    <w:rsid w:val="00884201"/>
    <w:rsid w:val="00884A2C"/>
    <w:rsid w:val="008A06B6"/>
    <w:rsid w:val="008E01F5"/>
    <w:rsid w:val="008F1E13"/>
    <w:rsid w:val="00902E1E"/>
    <w:rsid w:val="009072BA"/>
    <w:rsid w:val="00916339"/>
    <w:rsid w:val="00925B49"/>
    <w:rsid w:val="00971975"/>
    <w:rsid w:val="009805AF"/>
    <w:rsid w:val="00990C06"/>
    <w:rsid w:val="00994D35"/>
    <w:rsid w:val="009B1C45"/>
    <w:rsid w:val="009F06FE"/>
    <w:rsid w:val="00A057AD"/>
    <w:rsid w:val="00A30E1C"/>
    <w:rsid w:val="00A375BD"/>
    <w:rsid w:val="00A47CAE"/>
    <w:rsid w:val="00A67438"/>
    <w:rsid w:val="00A9217F"/>
    <w:rsid w:val="00AC5372"/>
    <w:rsid w:val="00AD593B"/>
    <w:rsid w:val="00AE7FA4"/>
    <w:rsid w:val="00B248C0"/>
    <w:rsid w:val="00B46A7A"/>
    <w:rsid w:val="00B572EB"/>
    <w:rsid w:val="00B72BF2"/>
    <w:rsid w:val="00B7496E"/>
    <w:rsid w:val="00B97BC8"/>
    <w:rsid w:val="00BF21C6"/>
    <w:rsid w:val="00C0158E"/>
    <w:rsid w:val="00C13054"/>
    <w:rsid w:val="00C20FA2"/>
    <w:rsid w:val="00C4403F"/>
    <w:rsid w:val="00C544B0"/>
    <w:rsid w:val="00C56CD4"/>
    <w:rsid w:val="00C867E7"/>
    <w:rsid w:val="00CF36EB"/>
    <w:rsid w:val="00D119DB"/>
    <w:rsid w:val="00D13A6E"/>
    <w:rsid w:val="00D47C1A"/>
    <w:rsid w:val="00D5367E"/>
    <w:rsid w:val="00D61529"/>
    <w:rsid w:val="00D93A2F"/>
    <w:rsid w:val="00D96714"/>
    <w:rsid w:val="00DA7182"/>
    <w:rsid w:val="00DB3BB4"/>
    <w:rsid w:val="00E12321"/>
    <w:rsid w:val="00E138B4"/>
    <w:rsid w:val="00E30105"/>
    <w:rsid w:val="00E61680"/>
    <w:rsid w:val="00EE2B30"/>
    <w:rsid w:val="00EE64EC"/>
    <w:rsid w:val="00EE7547"/>
    <w:rsid w:val="00EF305C"/>
    <w:rsid w:val="00F01231"/>
    <w:rsid w:val="00F10062"/>
    <w:rsid w:val="00F34C8E"/>
    <w:rsid w:val="00F57C6E"/>
    <w:rsid w:val="00FA30CC"/>
    <w:rsid w:val="00FD25C8"/>
    <w:rsid w:val="00FD43EB"/>
    <w:rsid w:val="00FE323B"/>
    <w:rsid w:val="01CC1A40"/>
    <w:rsid w:val="02201D8C"/>
    <w:rsid w:val="03A32C74"/>
    <w:rsid w:val="077C5CB6"/>
    <w:rsid w:val="0F582B65"/>
    <w:rsid w:val="12371157"/>
    <w:rsid w:val="24C73138"/>
    <w:rsid w:val="26DC3C24"/>
    <w:rsid w:val="27DF1C1D"/>
    <w:rsid w:val="29AB6B74"/>
    <w:rsid w:val="2FE36023"/>
    <w:rsid w:val="38270749"/>
    <w:rsid w:val="42ED2FE9"/>
    <w:rsid w:val="4AF75521"/>
    <w:rsid w:val="4FA3633E"/>
    <w:rsid w:val="53037A15"/>
    <w:rsid w:val="5B3046C3"/>
    <w:rsid w:val="5B5B3832"/>
    <w:rsid w:val="5F702B80"/>
    <w:rsid w:val="64794284"/>
    <w:rsid w:val="64CC6AAA"/>
    <w:rsid w:val="6CE3550E"/>
    <w:rsid w:val="72D82ABE"/>
    <w:rsid w:val="75022465"/>
    <w:rsid w:val="7552152F"/>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8"/>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29"/>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autoRedefine/>
    <w:unhideWhenUsed/>
    <w:qFormat/>
    <w:uiPriority w:val="9"/>
    <w:pPr>
      <w:keepNext/>
      <w:keepLines/>
      <w:spacing w:before="280" w:after="290" w:line="376" w:lineRule="auto"/>
      <w:outlineLvl w:val="4"/>
    </w:pPr>
    <w:rPr>
      <w:b/>
      <w:bCs/>
      <w:sz w:val="28"/>
      <w:szCs w:val="28"/>
    </w:rPr>
  </w:style>
  <w:style w:type="character" w:default="1" w:styleId="18">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1"/>
    <w:semiHidden/>
    <w:unhideWhenUsed/>
    <w:qFormat/>
    <w:uiPriority w:val="99"/>
  </w:style>
  <w:style w:type="paragraph" w:styleId="8">
    <w:name w:val="Body Text"/>
    <w:basedOn w:val="1"/>
    <w:link w:val="22"/>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style>
  <w:style w:type="paragraph" w:styleId="10">
    <w:name w:val="Date"/>
    <w:basedOn w:val="1"/>
    <w:next w:val="1"/>
    <w:link w:val="25"/>
    <w:semiHidden/>
    <w:unhideWhenUsed/>
    <w:qFormat/>
    <w:uiPriority w:val="99"/>
    <w:pPr>
      <w:ind w:left="100" w:leftChars="2500"/>
    </w:pPr>
  </w:style>
  <w:style w:type="paragraph" w:styleId="11">
    <w:name w:val="endnote text"/>
    <w:basedOn w:val="1"/>
    <w:link w:val="33"/>
    <w:autoRedefine/>
    <w:semiHidden/>
    <w:unhideWhenUsed/>
    <w:qFormat/>
    <w:uiPriority w:val="99"/>
    <w:pPr>
      <w:snapToGrid w:val="0"/>
    </w:pPr>
  </w:style>
  <w:style w:type="paragraph" w:styleId="12">
    <w:name w:val="footer"/>
    <w:basedOn w:val="1"/>
    <w:link w:val="35"/>
    <w:autoRedefine/>
    <w:unhideWhenUsed/>
    <w:qFormat/>
    <w:uiPriority w:val="99"/>
    <w:pPr>
      <w:tabs>
        <w:tab w:val="center" w:pos="4153"/>
        <w:tab w:val="right" w:pos="8306"/>
      </w:tabs>
      <w:snapToGrid w:val="0"/>
    </w:pPr>
    <w:rPr>
      <w:sz w:val="18"/>
      <w:szCs w:val="18"/>
    </w:rPr>
  </w:style>
  <w:style w:type="paragraph" w:styleId="13">
    <w:name w:val="header"/>
    <w:basedOn w:val="1"/>
    <w:link w:val="34"/>
    <w:unhideWhenUsed/>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autoRedefine/>
    <w:semiHidden/>
    <w:unhideWhenUsed/>
    <w:qFormat/>
    <w:uiPriority w:val="99"/>
    <w:rPr>
      <w:vertAlign w:val="superscript"/>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正文文本 字符"/>
    <w:basedOn w:val="18"/>
    <w:link w:val="8"/>
    <w:autoRedefine/>
    <w:semiHidden/>
    <w:qFormat/>
    <w:uiPriority w:val="99"/>
    <w:rPr>
      <w:rFonts w:ascii="宋体" w:hAnsi="宋体" w:eastAsia="宋体" w:cs="宋体"/>
      <w:kern w:val="0"/>
      <w:sz w:val="24"/>
      <w:szCs w:val="24"/>
    </w:rPr>
  </w:style>
  <w:style w:type="paragraph" w:customStyle="1" w:styleId="23">
    <w:name w:val="11"/>
    <w:basedOn w:val="1"/>
    <w:autoRedefine/>
    <w:semiHidden/>
    <w:qFormat/>
    <w:uiPriority w:val="99"/>
    <w:pPr>
      <w:spacing w:before="100" w:beforeAutospacing="1" w:after="100" w:afterAutospacing="1"/>
    </w:pPr>
  </w:style>
  <w:style w:type="character" w:customStyle="1" w:styleId="24">
    <w:name w:val="标题 1 字符"/>
    <w:basedOn w:val="18"/>
    <w:link w:val="2"/>
    <w:qFormat/>
    <w:uiPriority w:val="9"/>
    <w:rPr>
      <w:b/>
      <w:bCs/>
      <w:kern w:val="44"/>
      <w:sz w:val="44"/>
      <w:szCs w:val="44"/>
    </w:rPr>
  </w:style>
  <w:style w:type="character" w:customStyle="1" w:styleId="25">
    <w:name w:val="日期 字符"/>
    <w:basedOn w:val="18"/>
    <w:link w:val="10"/>
    <w:autoRedefine/>
    <w:semiHidden/>
    <w:qFormat/>
    <w:uiPriority w:val="99"/>
    <w:rPr>
      <w:rFonts w:ascii="宋体" w:hAnsi="宋体" w:eastAsia="宋体" w:cs="宋体"/>
      <w:kern w:val="0"/>
      <w:sz w:val="24"/>
      <w:szCs w:val="24"/>
    </w:rPr>
  </w:style>
  <w:style w:type="paragraph" w:customStyle="1" w:styleId="26">
    <w:name w:val="21"/>
    <w:basedOn w:val="1"/>
    <w:autoRedefine/>
    <w:semiHidden/>
    <w:qFormat/>
    <w:uiPriority w:val="99"/>
    <w:pPr>
      <w:spacing w:before="100" w:beforeAutospacing="1" w:after="100" w:afterAutospacing="1"/>
    </w:pPr>
  </w:style>
  <w:style w:type="paragraph" w:customStyle="1" w:styleId="27">
    <w:name w:val="tableparagraph"/>
    <w:basedOn w:val="1"/>
    <w:autoRedefine/>
    <w:semiHidden/>
    <w:qFormat/>
    <w:uiPriority w:val="99"/>
    <w:pPr>
      <w:spacing w:before="100" w:beforeAutospacing="1" w:after="100" w:afterAutospacing="1"/>
    </w:pPr>
  </w:style>
  <w:style w:type="character" w:customStyle="1" w:styleId="28">
    <w:name w:val="标题 2 字符"/>
    <w:basedOn w:val="18"/>
    <w:link w:val="3"/>
    <w:autoRedefine/>
    <w:qFormat/>
    <w:uiPriority w:val="9"/>
    <w:rPr>
      <w:rFonts w:ascii="Cambria" w:hAnsi="Cambria" w:eastAsia="宋体" w:cs="Times New Roman"/>
      <w:b/>
      <w:bCs/>
      <w:sz w:val="32"/>
      <w:szCs w:val="32"/>
    </w:rPr>
  </w:style>
  <w:style w:type="character" w:customStyle="1" w:styleId="29">
    <w:name w:val="标题 3 字符"/>
    <w:basedOn w:val="18"/>
    <w:link w:val="4"/>
    <w:autoRedefine/>
    <w:qFormat/>
    <w:uiPriority w:val="9"/>
    <w:rPr>
      <w:b/>
      <w:bCs/>
      <w:sz w:val="32"/>
      <w:szCs w:val="32"/>
    </w:rPr>
  </w:style>
  <w:style w:type="character" w:customStyle="1" w:styleId="30">
    <w:name w:val="标题 4 字符"/>
    <w:basedOn w:val="18"/>
    <w:link w:val="5"/>
    <w:qFormat/>
    <w:uiPriority w:val="9"/>
    <w:rPr>
      <w:rFonts w:asciiTheme="majorHAnsi" w:hAnsiTheme="majorHAnsi" w:eastAsiaTheme="majorEastAsia" w:cstheme="majorBidi"/>
      <w:b/>
      <w:bCs/>
      <w:kern w:val="0"/>
      <w:sz w:val="28"/>
      <w:szCs w:val="28"/>
    </w:rPr>
  </w:style>
  <w:style w:type="character" w:customStyle="1" w:styleId="31">
    <w:name w:val="批注文字 字符"/>
    <w:basedOn w:val="18"/>
    <w:link w:val="7"/>
    <w:autoRedefine/>
    <w:semiHidden/>
    <w:qFormat/>
    <w:uiPriority w:val="99"/>
    <w:rPr>
      <w:rFonts w:ascii="宋体" w:hAnsi="宋体" w:eastAsia="宋体" w:cs="宋体"/>
      <w:kern w:val="0"/>
      <w:sz w:val="24"/>
      <w:szCs w:val="24"/>
    </w:rPr>
  </w:style>
  <w:style w:type="character" w:customStyle="1" w:styleId="32">
    <w:name w:val="标题 5 字符"/>
    <w:basedOn w:val="18"/>
    <w:link w:val="6"/>
    <w:autoRedefine/>
    <w:qFormat/>
    <w:uiPriority w:val="9"/>
    <w:rPr>
      <w:rFonts w:ascii="宋体" w:hAnsi="宋体" w:eastAsia="宋体" w:cs="宋体"/>
      <w:b/>
      <w:bCs/>
      <w:kern w:val="0"/>
      <w:sz w:val="28"/>
      <w:szCs w:val="28"/>
    </w:rPr>
  </w:style>
  <w:style w:type="character" w:customStyle="1" w:styleId="33">
    <w:name w:val="尾注文本 字符"/>
    <w:basedOn w:val="18"/>
    <w:link w:val="11"/>
    <w:autoRedefine/>
    <w:semiHidden/>
    <w:qFormat/>
    <w:uiPriority w:val="99"/>
    <w:rPr>
      <w:rFonts w:ascii="宋体" w:hAnsi="宋体" w:eastAsia="宋体" w:cs="宋体"/>
      <w:sz w:val="24"/>
      <w:szCs w:val="24"/>
    </w:rPr>
  </w:style>
  <w:style w:type="character" w:customStyle="1" w:styleId="34">
    <w:name w:val="页眉 字符"/>
    <w:basedOn w:val="18"/>
    <w:link w:val="13"/>
    <w:uiPriority w:val="99"/>
    <w:rPr>
      <w:rFonts w:ascii="宋体" w:hAnsi="宋体" w:eastAsia="宋体" w:cs="宋体"/>
      <w:sz w:val="18"/>
      <w:szCs w:val="18"/>
    </w:rPr>
  </w:style>
  <w:style w:type="character" w:customStyle="1" w:styleId="35">
    <w:name w:val="页脚 字符"/>
    <w:basedOn w:val="18"/>
    <w:link w:val="12"/>
    <w:autoRedefine/>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Template>
  <Pages>1</Pages>
  <Words>2227</Words>
  <Characters>12695</Characters>
  <Lines>105</Lines>
  <Paragraphs>29</Paragraphs>
  <TotalTime>0</TotalTime>
  <ScaleCrop>false</ScaleCrop>
  <LinksUpToDate>false</LinksUpToDate>
  <CharactersWithSpaces>14893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2024-02-26T12:52:00Z</dcterms:created>
  <dc:creator>Lifan Zheng</dc:creator>
  <cp:lastModifiedBy>唐小霸</cp:lastModifiedBy>
  <dcterms:modified xsi:type="dcterms:W3CDTF">2024-03-14T04:51:28Z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253F8DEF0FCE412588BE2B678558630B_12</vt:lpwstr>
  </property>
</Properties>
</file>