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国际经济与贸易专业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3"/>
        <w:spacing w:before="98" w:beforeAutospacing="0" w:after="0" w:afterAutospacing="0"/>
        <w:ind w:left="597" w:right="231"/>
        <w:jc w:val="center"/>
      </w:pPr>
    </w:p>
    <w:tbl>
      <w:tblPr>
        <w:tblStyle w:val="16"/>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020401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 王丹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罗娟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胡斌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管理学院         （盖章）</w:t>
            </w:r>
          </w:p>
        </w:tc>
      </w:tr>
    </w:tbl>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pStyle w:val="23"/>
        <w:spacing w:before="98" w:beforeAutospacing="0" w:after="0" w:afterAutospacing="0"/>
        <w:ind w:left="597" w:right="231"/>
        <w:jc w:val="center"/>
      </w:pPr>
    </w:p>
    <w:p>
      <w:pPr>
        <w:pStyle w:val="23"/>
        <w:spacing w:before="98" w:beforeAutospacing="0" w:after="0" w:afterAutospacing="0"/>
        <w:ind w:left="597" w:right="231"/>
        <w:jc w:val="center"/>
      </w:pPr>
      <w:r>
        <w:t>2024--</w:t>
      </w:r>
      <w:r>
        <w:rPr>
          <w:rFonts w:hint="eastAsia"/>
        </w:rPr>
        <w:t>年_</w:t>
      </w:r>
      <w:r>
        <w:t>2___</w:t>
      </w:r>
      <w:r>
        <w:rPr>
          <w:rFonts w:hint="eastAsia"/>
        </w:rPr>
        <w:t>月</w:t>
      </w:r>
    </w:p>
    <w:p>
      <w:r>
        <w:br w:type="page"/>
      </w: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"_Toc154735762" </w:instrText>
      </w:r>
      <w:r>
        <w:fldChar w:fldCharType="separate"/>
      </w:r>
      <w:r>
        <w:rPr>
          <w:rStyle w:val="20"/>
        </w:rPr>
        <w:t>说</w:t>
      </w:r>
      <w:r>
        <w:rPr>
          <w:rFonts w:asciiTheme="minorHAnsi" w:hAnsiTheme="minorHAnsi" w:eastAsiaTheme="minorEastAsia" w:cstheme="minorBidi"/>
          <w:kern w:val="2"/>
          <w:sz w:val="21"/>
          <w:szCs w:val="22"/>
          <w14:ligatures w14:val="standardContextual"/>
        </w:rPr>
        <w:tab/>
      </w:r>
      <w:r>
        <w:rPr>
          <w:rStyle w:val="20"/>
        </w:rPr>
        <w:t>明</w:t>
      </w:r>
      <w:r>
        <w:tab/>
      </w:r>
      <w:r>
        <w:fldChar w:fldCharType="begin"/>
      </w:r>
      <w:r>
        <w:instrText xml:space="preserve"> PAGEREF _Toc154735762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"_Toc154735763" </w:instrText>
      </w:r>
      <w:r>
        <w:fldChar w:fldCharType="separate"/>
      </w:r>
      <w:r>
        <w:rPr>
          <w:rStyle w:val="20"/>
        </w:rPr>
        <w:t>1.专业概况</w:t>
      </w:r>
      <w:r>
        <w:tab/>
      </w:r>
      <w:r>
        <w:fldChar w:fldCharType="begin"/>
      </w:r>
      <w:r>
        <w:instrText xml:space="preserve"> PAGEREF _Toc154735763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"_Toc154735764" </w:instrText>
      </w:r>
      <w:r>
        <w:fldChar w:fldCharType="separate"/>
      </w:r>
      <w:r>
        <w:rPr>
          <w:rStyle w:val="20"/>
        </w:rPr>
        <w:t>1.1专业设置情况</w:t>
      </w:r>
      <w:r>
        <w:tab/>
      </w:r>
      <w:r>
        <w:fldChar w:fldCharType="begin"/>
      </w:r>
      <w:r>
        <w:instrText xml:space="preserve"> PAGEREF _Toc154735764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"_Toc154735765" </w:instrText>
      </w:r>
      <w:r>
        <w:fldChar w:fldCharType="separate"/>
      </w:r>
      <w:r>
        <w:rPr>
          <w:rStyle w:val="20"/>
        </w:rPr>
        <w:t>1.2人才培养目标</w:t>
      </w:r>
      <w:r>
        <w:tab/>
      </w:r>
      <w:r>
        <w:fldChar w:fldCharType="begin"/>
      </w:r>
      <w:r>
        <w:instrText xml:space="preserve"> PAGEREF _Toc154735765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"_Toc154735766" </w:instrText>
      </w:r>
      <w:r>
        <w:fldChar w:fldCharType="separate"/>
      </w:r>
      <w:r>
        <w:rPr>
          <w:rStyle w:val="20"/>
        </w:rPr>
        <w:t>2.毕业要求</w:t>
      </w:r>
      <w:r>
        <w:tab/>
      </w:r>
      <w:r>
        <w:fldChar w:fldCharType="begin"/>
      </w:r>
      <w:r>
        <w:instrText xml:space="preserve"> PAGEREF _Toc154735766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"_Toc154735767" </w:instrText>
      </w:r>
      <w:r>
        <w:fldChar w:fldCharType="separate"/>
      </w:r>
      <w:r>
        <w:rPr>
          <w:rStyle w:val="20"/>
        </w:rPr>
        <w:t>3.培养情况</w:t>
      </w:r>
      <w:r>
        <w:tab/>
      </w:r>
      <w:r>
        <w:fldChar w:fldCharType="begin"/>
      </w:r>
      <w:r>
        <w:instrText xml:space="preserve"> PAGEREF _Toc154735767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"_Toc154735768" </w:instrText>
      </w:r>
      <w:r>
        <w:fldChar w:fldCharType="separate"/>
      </w:r>
      <w:r>
        <w:rPr>
          <w:rStyle w:val="20"/>
        </w:rPr>
        <w:t>3.1专业建设情况</w:t>
      </w:r>
      <w:r>
        <w:tab/>
      </w:r>
      <w:r>
        <w:fldChar w:fldCharType="begin"/>
      </w:r>
      <w:r>
        <w:instrText xml:space="preserve"> PAGEREF _Toc154735768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"_Toc154735769" </w:instrText>
      </w:r>
      <w:r>
        <w:fldChar w:fldCharType="separate"/>
      </w:r>
      <w:r>
        <w:rPr>
          <w:rStyle w:val="20"/>
        </w:rPr>
        <w:t>3.2专业教学计划</w:t>
      </w:r>
      <w:r>
        <w:tab/>
      </w:r>
      <w:r>
        <w:fldChar w:fldCharType="begin"/>
      </w:r>
      <w:r>
        <w:instrText xml:space="preserve"> PAGEREF _Toc154735769 \h </w:instrText>
      </w:r>
      <w:r>
        <w:fldChar w:fldCharType="separate"/>
      </w:r>
      <w:r>
        <w:t>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"_Toc154735770" </w:instrText>
      </w:r>
      <w:r>
        <w:fldChar w:fldCharType="separate"/>
      </w:r>
      <w:r>
        <w:rPr>
          <w:rStyle w:val="20"/>
        </w:rPr>
        <w:t>3.3专业课开设情况</w:t>
      </w:r>
      <w:r>
        <w:tab/>
      </w:r>
      <w:r>
        <w:fldChar w:fldCharType="begin"/>
      </w:r>
      <w:r>
        <w:instrText xml:space="preserve"> PAGEREF _Toc154735770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"_Toc154735771" </w:instrText>
      </w:r>
      <w:r>
        <w:fldChar w:fldCharType="separate"/>
      </w:r>
      <w:r>
        <w:rPr>
          <w:rStyle w:val="20"/>
        </w:rPr>
        <w:t>3.4专业课课堂规模</w:t>
      </w:r>
      <w:r>
        <w:tab/>
      </w:r>
      <w:r>
        <w:fldChar w:fldCharType="begin"/>
      </w:r>
      <w:r>
        <w:instrText xml:space="preserve"> PAGEREF _Toc154735771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"_Toc154735772" </w:instrText>
      </w:r>
      <w:r>
        <w:fldChar w:fldCharType="separate"/>
      </w:r>
      <w:r>
        <w:rPr>
          <w:rStyle w:val="20"/>
        </w:rPr>
        <w:t>3.5专业的核心课程情况</w:t>
      </w:r>
      <w:r>
        <w:tab/>
      </w:r>
      <w:r>
        <w:fldChar w:fldCharType="begin"/>
      </w:r>
      <w:r>
        <w:instrText xml:space="preserve"> PAGEREF _Toc154735772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"_Toc154735773" </w:instrText>
      </w:r>
      <w:r>
        <w:fldChar w:fldCharType="separate"/>
      </w:r>
      <w:r>
        <w:rPr>
          <w:rStyle w:val="20"/>
        </w:rPr>
        <w:t>3.6实验教学情况</w:t>
      </w:r>
      <w:r>
        <w:tab/>
      </w:r>
      <w:r>
        <w:fldChar w:fldCharType="begin"/>
      </w:r>
      <w:r>
        <w:instrText xml:space="preserve"> PAGEREF _Toc154735773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"_Toc154735774" </w:instrText>
      </w:r>
      <w:r>
        <w:fldChar w:fldCharType="separate"/>
      </w:r>
      <w:r>
        <w:rPr>
          <w:rStyle w:val="20"/>
        </w:rPr>
        <w:t>3.7实践教学情况</w:t>
      </w:r>
      <w:r>
        <w:tab/>
      </w:r>
      <w:r>
        <w:fldChar w:fldCharType="begin"/>
      </w:r>
      <w:r>
        <w:instrText xml:space="preserve"> PAGEREF _Toc154735774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"_Toc154735775" </w:instrText>
      </w:r>
      <w:r>
        <w:fldChar w:fldCharType="separate"/>
      </w:r>
      <w:r>
        <w:rPr>
          <w:rStyle w:val="20"/>
        </w:rPr>
        <w:t>3.8创新创业教育</w:t>
      </w:r>
      <w:r>
        <w:tab/>
      </w:r>
      <w:r>
        <w:fldChar w:fldCharType="begin"/>
      </w:r>
      <w:r>
        <w:instrText xml:space="preserve"> PAGEREF _Toc154735775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"_Toc154735776" </w:instrText>
      </w:r>
      <w:r>
        <w:fldChar w:fldCharType="separate"/>
      </w:r>
      <w:r>
        <w:rPr>
          <w:rStyle w:val="20"/>
        </w:rPr>
        <w:t>3.9学生毕业综合训练情况</w:t>
      </w:r>
      <w:r>
        <w:tab/>
      </w:r>
      <w:r>
        <w:fldChar w:fldCharType="begin"/>
      </w:r>
      <w:r>
        <w:instrText xml:space="preserve"> PAGEREF _Toc154735776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"_Toc154735777" </w:instrText>
      </w:r>
      <w:r>
        <w:fldChar w:fldCharType="separate"/>
      </w:r>
      <w:r>
        <w:rPr>
          <w:rStyle w:val="20"/>
        </w:rPr>
        <w:t>3.10教学改革</w:t>
      </w:r>
      <w:r>
        <w:tab/>
      </w:r>
      <w:r>
        <w:fldChar w:fldCharType="begin"/>
      </w:r>
      <w:r>
        <w:instrText xml:space="preserve"> PAGEREF _Toc154735777 \h </w:instrText>
      </w:r>
      <w:r>
        <w:fldChar w:fldCharType="separate"/>
      </w:r>
      <w:r>
        <w:t>9</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"_Toc154735778" </w:instrText>
      </w:r>
      <w:r>
        <w:fldChar w:fldCharType="separate"/>
      </w:r>
      <w:r>
        <w:rPr>
          <w:rStyle w:val="20"/>
        </w:rPr>
        <w:t>4.教师队伍</w:t>
      </w:r>
      <w:r>
        <w:tab/>
      </w:r>
      <w:r>
        <w:fldChar w:fldCharType="begin"/>
      </w:r>
      <w:r>
        <w:instrText xml:space="preserve"> PAGEREF _Toc154735778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"_Toc154735779" </w:instrText>
      </w:r>
      <w:r>
        <w:fldChar w:fldCharType="separate"/>
      </w:r>
      <w:r>
        <w:rPr>
          <w:rStyle w:val="20"/>
        </w:rPr>
        <w:t>4.1专业教师数量与结构</w:t>
      </w:r>
      <w:r>
        <w:tab/>
      </w:r>
      <w:r>
        <w:fldChar w:fldCharType="begin"/>
      </w:r>
      <w:r>
        <w:instrText xml:space="preserve"> PAGEREF _Toc154735779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"_Toc154735780" </w:instrText>
      </w:r>
      <w:r>
        <w:fldChar w:fldCharType="separate"/>
      </w:r>
      <w:r>
        <w:rPr>
          <w:rStyle w:val="20"/>
        </w:rPr>
        <w:t>4.2授课师资分析</w:t>
      </w:r>
      <w:r>
        <w:tab/>
      </w:r>
      <w:r>
        <w:fldChar w:fldCharType="begin"/>
      </w:r>
      <w:r>
        <w:instrText xml:space="preserve"> PAGEREF _Toc154735780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"_Toc154735781" </w:instrText>
      </w:r>
      <w:r>
        <w:fldChar w:fldCharType="separate"/>
      </w:r>
      <w:r>
        <w:rPr>
          <w:rStyle w:val="20"/>
        </w:rPr>
        <w:t>4.3教师教学科研情况</w:t>
      </w:r>
      <w:r>
        <w:tab/>
      </w:r>
      <w:r>
        <w:fldChar w:fldCharType="begin"/>
      </w:r>
      <w:r>
        <w:instrText xml:space="preserve"> PAGEREF _Toc154735781 \h </w:instrText>
      </w:r>
      <w:r>
        <w:fldChar w:fldCharType="separate"/>
      </w:r>
      <w:r>
        <w:t>13</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"_Toc154735782" </w:instrText>
      </w:r>
      <w:r>
        <w:fldChar w:fldCharType="separate"/>
      </w:r>
      <w:r>
        <w:rPr>
          <w:rStyle w:val="20"/>
        </w:rPr>
        <w:t>5.支持条件</w:t>
      </w:r>
      <w:r>
        <w:tab/>
      </w:r>
      <w:r>
        <w:fldChar w:fldCharType="begin"/>
      </w:r>
      <w:r>
        <w:instrText xml:space="preserve"> PAGEREF _Toc154735782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"_Toc154735783" </w:instrText>
      </w:r>
      <w:r>
        <w:fldChar w:fldCharType="separate"/>
      </w:r>
      <w:r>
        <w:rPr>
          <w:rStyle w:val="20"/>
        </w:rPr>
        <w:t>5.1学校生均教学经费情况</w:t>
      </w:r>
      <w:r>
        <w:tab/>
      </w:r>
      <w:r>
        <w:fldChar w:fldCharType="begin"/>
      </w:r>
      <w:r>
        <w:instrText xml:space="preserve"> PAGEREF _Toc154735783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"_Toc154735784" </w:instrText>
      </w:r>
      <w:r>
        <w:fldChar w:fldCharType="separate"/>
      </w:r>
      <w:r>
        <w:rPr>
          <w:rStyle w:val="20"/>
        </w:rPr>
        <w:t>5.2支撑专业实验教学校内场所情况</w:t>
      </w:r>
      <w:r>
        <w:tab/>
      </w:r>
      <w:r>
        <w:fldChar w:fldCharType="begin"/>
      </w:r>
      <w:r>
        <w:instrText xml:space="preserve"> PAGEREF _Toc154735784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"_Toc154735785" </w:instrText>
      </w:r>
      <w:r>
        <w:fldChar w:fldCharType="separate"/>
      </w:r>
      <w:r>
        <w:rPr>
          <w:rStyle w:val="20"/>
        </w:rPr>
        <w:t>5.3校外本科教学实习实训基地情况</w:t>
      </w:r>
      <w:r>
        <w:tab/>
      </w:r>
      <w:r>
        <w:fldChar w:fldCharType="begin"/>
      </w:r>
      <w:r>
        <w:instrText xml:space="preserve"> PAGEREF _Toc154735785 \h </w:instrText>
      </w:r>
      <w:r>
        <w:fldChar w:fldCharType="separate"/>
      </w:r>
      <w:r>
        <w:t>15</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"_Toc154735786" </w:instrText>
      </w:r>
      <w:r>
        <w:fldChar w:fldCharType="separate"/>
      </w:r>
      <w:r>
        <w:rPr>
          <w:rStyle w:val="20"/>
        </w:rPr>
        <w:t>6.质量保障</w:t>
      </w:r>
      <w:r>
        <w:tab/>
      </w:r>
      <w:r>
        <w:fldChar w:fldCharType="begin"/>
      </w:r>
      <w:r>
        <w:instrText xml:space="preserve"> PAGEREF _Toc154735786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"_Toc154735787" </w:instrText>
      </w:r>
      <w:r>
        <w:fldChar w:fldCharType="separate"/>
      </w:r>
      <w:r>
        <w:rPr>
          <w:rStyle w:val="20"/>
        </w:rPr>
        <w:t>6.1质量保障体系</w:t>
      </w:r>
      <w:r>
        <w:tab/>
      </w:r>
      <w:r>
        <w:fldChar w:fldCharType="begin"/>
      </w:r>
      <w:r>
        <w:instrText xml:space="preserve"> PAGEREF _Toc154735787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"_Toc154735788" </w:instrText>
      </w:r>
      <w:r>
        <w:fldChar w:fldCharType="separate"/>
      </w:r>
      <w:r>
        <w:rPr>
          <w:rStyle w:val="20"/>
        </w:rPr>
        <w:t>6.2质量监控制度及实施办法</w:t>
      </w:r>
      <w:r>
        <w:tab/>
      </w:r>
      <w:r>
        <w:fldChar w:fldCharType="begin"/>
      </w:r>
      <w:r>
        <w:instrText xml:space="preserve"> PAGEREF _Toc154735788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"_Toc154735789" </w:instrText>
      </w:r>
      <w:r>
        <w:fldChar w:fldCharType="separate"/>
      </w:r>
      <w:r>
        <w:rPr>
          <w:rStyle w:val="20"/>
        </w:rPr>
        <w:t>6.3质量评估反馈及持续改进</w:t>
      </w:r>
      <w:r>
        <w:tab/>
      </w:r>
      <w:r>
        <w:fldChar w:fldCharType="begin"/>
      </w:r>
      <w:r>
        <w:instrText xml:space="preserve"> PAGEREF _Toc154735789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"_Toc154735790" </w:instrText>
      </w:r>
      <w:r>
        <w:fldChar w:fldCharType="separate"/>
      </w:r>
      <w:r>
        <w:rPr>
          <w:rStyle w:val="20"/>
        </w:rPr>
        <w:t>6.4在校生与毕业生满意度</w:t>
      </w:r>
      <w:r>
        <w:tab/>
      </w:r>
      <w:r>
        <w:fldChar w:fldCharType="begin"/>
      </w:r>
      <w:r>
        <w:instrText xml:space="preserve"> PAGEREF _Toc154735790 \h </w:instrText>
      </w:r>
      <w:r>
        <w:fldChar w:fldCharType="separate"/>
      </w:r>
      <w:r>
        <w:t>16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"_Toc154735791" </w:instrText>
      </w:r>
      <w:r>
        <w:fldChar w:fldCharType="separate"/>
      </w:r>
      <w:r>
        <w:rPr>
          <w:rStyle w:val="20"/>
        </w:rPr>
        <w:t>7.学生发展</w:t>
      </w:r>
      <w:r>
        <w:tab/>
      </w:r>
      <w:r>
        <w:fldChar w:fldCharType="begin"/>
      </w:r>
      <w:r>
        <w:instrText xml:space="preserve"> PAGEREF _Toc154735791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"_Toc154735792" </w:instrText>
      </w:r>
      <w:r>
        <w:fldChar w:fldCharType="separate"/>
      </w:r>
      <w:r>
        <w:rPr>
          <w:rStyle w:val="20"/>
        </w:rPr>
        <w:t>7.1本科在校生数量基本情况</w:t>
      </w:r>
      <w:r>
        <w:tab/>
      </w:r>
      <w:r>
        <w:fldChar w:fldCharType="begin"/>
      </w:r>
      <w:r>
        <w:instrText xml:space="preserve"> PAGEREF _Toc154735792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"_Toc154735793" </w:instrText>
      </w:r>
      <w:r>
        <w:fldChar w:fldCharType="separate"/>
      </w:r>
      <w:r>
        <w:rPr>
          <w:rStyle w:val="20"/>
        </w:rPr>
        <w:t>7.2专业招生录取率和新生报到率</w:t>
      </w:r>
      <w:r>
        <w:tab/>
      </w:r>
      <w:r>
        <w:fldChar w:fldCharType="begin"/>
      </w:r>
      <w:r>
        <w:instrText xml:space="preserve"> PAGEREF _Toc154735793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"_Toc154735794" </w:instrText>
      </w:r>
      <w:r>
        <w:fldChar w:fldCharType="separate"/>
      </w:r>
      <w:r>
        <w:rPr>
          <w:rStyle w:val="20"/>
        </w:rPr>
        <w:t>7.3毕业生毕业率、学位授予率与去向落实率</w:t>
      </w:r>
      <w:r>
        <w:tab/>
      </w:r>
      <w:r>
        <w:fldChar w:fldCharType="begin"/>
      </w:r>
      <w:r>
        <w:instrText xml:space="preserve"> PAGEREF _Toc154735794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"_Toc154735795" </w:instrText>
      </w:r>
      <w:r>
        <w:fldChar w:fldCharType="separate"/>
      </w:r>
      <w:r>
        <w:rPr>
          <w:rStyle w:val="20"/>
        </w:rPr>
        <w:t>7.4学风建设情况</w:t>
      </w:r>
      <w:r>
        <w:tab/>
      </w:r>
      <w:r>
        <w:fldChar w:fldCharType="begin"/>
      </w:r>
      <w:r>
        <w:instrText xml:space="preserve"> PAGEREF _Toc154735795 \h </w:instrText>
      </w:r>
      <w:r>
        <w:fldChar w:fldCharType="separate"/>
      </w:r>
      <w:r>
        <w:t>17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"_Toc154735796" </w:instrText>
      </w:r>
      <w:r>
        <w:fldChar w:fldCharType="separate"/>
      </w:r>
      <w:r>
        <w:rPr>
          <w:rStyle w:val="20"/>
        </w:rPr>
        <w:t>8.特色发展与案例</w:t>
      </w:r>
      <w:r>
        <w:tab/>
      </w:r>
      <w:r>
        <w:fldChar w:fldCharType="begin"/>
      </w:r>
      <w:r>
        <w:instrText xml:space="preserve"> PAGEREF _Toc154735796 \h </w:instrText>
      </w:r>
      <w:r>
        <w:fldChar w:fldCharType="separate"/>
      </w:r>
      <w:r>
        <w:t>17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"_Toc154735797" </w:instrText>
      </w:r>
      <w:r>
        <w:fldChar w:fldCharType="separate"/>
      </w:r>
      <w:r>
        <w:rPr>
          <w:rStyle w:val="20"/>
        </w:rPr>
        <w:t>9.问题与对策</w:t>
      </w:r>
      <w:r>
        <w:tab/>
      </w:r>
      <w:r>
        <w:fldChar w:fldCharType="begin"/>
      </w:r>
      <w:r>
        <w:instrText xml:space="preserve"> PAGEREF _Toc154735797 \h </w:instrText>
      </w:r>
      <w:r>
        <w:fldChar w:fldCharType="separate"/>
      </w:r>
      <w:r>
        <w:t>17</w:t>
      </w:r>
      <w:r>
        <w:fldChar w:fldCharType="end"/>
      </w:r>
      <w:r>
        <w:fldChar w:fldCharType="end"/>
      </w:r>
    </w:p>
    <w:p>
      <w:pPr>
        <w:pStyle w:val="23"/>
        <w:spacing w:before="98" w:beforeAutospacing="0" w:after="0" w:afterAutospacing="0"/>
        <w:ind w:left="597" w:right="231"/>
        <w:jc w:val="center"/>
      </w:pPr>
      <w:r>
        <w:fldChar w:fldCharType="end"/>
      </w:r>
    </w:p>
    <w:p>
      <w:r>
        <w:br w:type="page"/>
      </w:r>
    </w:p>
    <w:p>
      <w:pPr>
        <w:pStyle w:val="3"/>
        <w:jc w:val="center"/>
        <w:rPr>
          <w:rFonts w:ascii="宋体" w:hAnsi="宋体"/>
        </w:rPr>
      </w:pPr>
      <w:bookmarkStart w:id="1" w:name="_Toc128820648"/>
      <w:bookmarkStart w:id="2" w:name="_Toc154735762"/>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w:t>
      </w:r>
      <w:r>
        <w:rPr>
          <w:rFonts w:hint="eastAsia" w:ascii="Times New Roman" w:hAnsi="Times New Roman" w:eastAsia="仿宋" w:cs="Times New Roman"/>
          <w:kern w:val="2"/>
          <w:sz w:val="28"/>
          <w:szCs w:val="28"/>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rPr>
        <w:t>2022</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rPr>
        <w:t>2023</w:t>
      </w:r>
      <w:r>
        <w:rPr>
          <w:rFonts w:ascii="Times New Roman" w:hAnsi="Times New Roman" w:eastAsia="仿宋" w:cs="Times New Roman"/>
          <w:kern w:val="2"/>
          <w:sz w:val="28"/>
          <w:szCs w:val="28"/>
        </w:rPr>
        <w:t>年 8 月 31 日）</w:t>
      </w:r>
      <w:r>
        <w:rPr>
          <w:rFonts w:ascii="仿宋" w:hAnsi="仿宋" w:eastAsia="仿宋" w:cstheme="minorBidi"/>
          <w:kern w:val="2"/>
          <w:sz w:val="28"/>
          <w:szCs w:val="28"/>
        </w:rPr>
        <w:t>。</w:t>
      </w:r>
    </w:p>
    <w:p>
      <w:pPr>
        <w:rPr>
          <w:rFonts w:ascii="仿宋" w:hAnsi="仿宋" w:eastAsia="仿宋" w:cstheme="minorBidi"/>
          <w:kern w:val="2"/>
          <w:sz w:val="28"/>
          <w:szCs w:val="28"/>
        </w:rPr>
      </w:pPr>
      <w:r>
        <w:rPr>
          <w:rFonts w:ascii="仿宋" w:hAnsi="仿宋" w:eastAsia="仿宋" w:cstheme="minorBidi"/>
          <w:kern w:val="2"/>
          <w:sz w:val="28"/>
          <w:szCs w:val="28"/>
        </w:rPr>
        <w:br w:type="page"/>
      </w:r>
    </w:p>
    <w:p>
      <w:pPr>
        <w:pStyle w:val="3"/>
        <w:pageBreakBefore/>
        <w:spacing w:after="120" w:line="415" w:lineRule="auto"/>
        <w:jc w:val="left"/>
        <w:rPr>
          <w:rFonts w:ascii="宋体" w:hAnsi="宋体"/>
          <w:sz w:val="28"/>
          <w:szCs w:val="28"/>
        </w:rPr>
      </w:pPr>
      <w:bookmarkStart w:id="3" w:name="_Toc154735763"/>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4"/>
        <w:rPr>
          <w:rFonts w:ascii="宋体" w:hAnsi="宋体" w:eastAsia="宋体"/>
          <w:b w:val="0"/>
          <w:bCs w:val="0"/>
          <w:sz w:val="24"/>
          <w:szCs w:val="24"/>
        </w:rPr>
      </w:pPr>
      <w:bookmarkStart w:id="4" w:name="_Toc154735764"/>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p>
      <w:pPr>
        <w:spacing w:line="360" w:lineRule="auto"/>
        <w:ind w:firstLine="480" w:firstLineChars="200"/>
        <w:rPr>
          <w:color w:val="333333"/>
        </w:rPr>
      </w:pPr>
      <w:r>
        <w:rPr>
          <w:rFonts w:hint="eastAsia"/>
        </w:rPr>
        <w:t>1992年上海工程技术大学管理学院设置了工商管理（外贸管理）专科专业，1996年设置工商管理（外贸管理）本科专业，并取得本科学位授予资格，1998年定名为国际经济与贸易专业。2006年通过专业达标评估，2016年通过专业审核性评估，2020年起本专业根据留学生教学培养计划开设国际班。在20多年的发展中，国际经济与贸易专业积极面向上海对外开放的发展要求，不断创新办学模式、凝练专业特色，人才培养水平不断提升。</w:t>
      </w:r>
    </w:p>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rPr>
                <w:sz w:val="21"/>
                <w:szCs w:val="21"/>
              </w:rPr>
            </w:pPr>
            <w:r>
              <w:rPr>
                <w:rFonts w:hint="eastAsia"/>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020401</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国际经济与贸易</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1997</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93.81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15.26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王丹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sz w:val="21"/>
                <w:szCs w:val="22"/>
              </w:rPr>
            </w:pPr>
            <w:r>
              <w:rPr>
                <w:rFonts w:ascii="Segoe UI" w:hAnsi="Segoe UI" w:cs="Segoe UI"/>
                <w:sz w:val="21"/>
                <w:szCs w:val="21"/>
              </w:rPr>
              <w:t>1</w:t>
            </w:r>
          </w:p>
        </w:tc>
      </w:tr>
    </w:tbl>
    <w:p>
      <w:bookmarkStart w:id="11" w:name="_TOC_250064"/>
      <w:bookmarkEnd w:id="11"/>
      <w:bookmarkStart w:id="12" w:name="_TOC_250067"/>
      <w:bookmarkEnd w:id="12"/>
    </w:p>
    <w:p>
      <w:pPr>
        <w:pStyle w:val="4"/>
        <w:rPr>
          <w:rFonts w:ascii="宋体" w:hAnsi="宋体" w:eastAsia="宋体"/>
          <w:b w:val="0"/>
          <w:bCs w:val="0"/>
          <w:sz w:val="24"/>
          <w:szCs w:val="24"/>
        </w:rPr>
      </w:pPr>
      <w:bookmarkStart w:id="13" w:name="_Toc154735765"/>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tabs>
          <w:tab w:val="left" w:pos="1004"/>
        </w:tabs>
        <w:autoSpaceDE w:val="0"/>
        <w:autoSpaceDN w:val="0"/>
        <w:spacing w:line="360" w:lineRule="auto"/>
        <w:ind w:right="397" w:firstLine="438" w:firstLineChars="200"/>
        <w:jc w:val="both"/>
        <w:rPr>
          <w:rFonts w:cs="黑体"/>
          <w:b/>
          <w:bCs/>
          <w:spacing w:val="-11"/>
        </w:rPr>
      </w:pPr>
      <w:r>
        <w:rPr>
          <w:rFonts w:hint="eastAsia" w:cs="黑体"/>
          <w:b/>
          <w:bCs/>
          <w:spacing w:val="-11"/>
        </w:rPr>
        <w:t>1、专业定位与建设规划</w:t>
      </w:r>
    </w:p>
    <w:p>
      <w:pPr>
        <w:spacing w:line="360" w:lineRule="auto"/>
        <w:ind w:firstLine="480" w:firstLineChars="200"/>
        <w:rPr>
          <w:spacing w:val="-11"/>
        </w:rPr>
      </w:pPr>
      <w:r>
        <w:rPr>
          <w:rFonts w:hint="eastAsia"/>
        </w:rPr>
        <w:t>国际经济与贸易专业经过多年的建设，不断创新办学模式、凝练专业</w:t>
      </w:r>
      <w:r>
        <w:rPr>
          <w:rFonts w:hint="eastAsia"/>
          <w:spacing w:val="-11"/>
        </w:rPr>
        <w:t>特色，强化</w:t>
      </w:r>
      <w:r>
        <w:rPr>
          <w:rFonts w:hint="eastAsia"/>
        </w:rPr>
        <w:t>师资</w:t>
      </w:r>
      <w:r>
        <w:rPr>
          <w:rFonts w:hint="eastAsia"/>
          <w:spacing w:val="-11"/>
        </w:rPr>
        <w:t>队伍建设，提高教学和科研水平。经过二十多年的发展，我校国际经济与贸易</w:t>
      </w:r>
      <w:r>
        <w:rPr>
          <w:rFonts w:hint="eastAsia"/>
        </w:rPr>
        <w:t>专业</w:t>
      </w:r>
      <w:r>
        <w:rPr>
          <w:rFonts w:hint="eastAsia"/>
          <w:spacing w:val="-11"/>
        </w:rPr>
        <w:t>定位和服务面向较清晰，符合社会的实际需求和学校办学定位。</w:t>
      </w:r>
    </w:p>
    <w:p>
      <w:pPr>
        <w:tabs>
          <w:tab w:val="left" w:pos="1004"/>
        </w:tabs>
        <w:autoSpaceDE w:val="0"/>
        <w:autoSpaceDN w:val="0"/>
        <w:spacing w:line="360" w:lineRule="auto"/>
        <w:ind w:firstLine="436" w:firstLineChars="200"/>
        <w:rPr>
          <w:spacing w:val="-11"/>
        </w:rPr>
      </w:pPr>
      <w:r>
        <w:rPr>
          <w:rFonts w:hint="eastAsia"/>
          <w:spacing w:val="-11"/>
        </w:rPr>
        <w:t>（1）坚持培养复合型、应用型和具有国际化视野人才的定位，走内涵发展道路。坚持依托现代产业、服务地区经济的办学宗旨，瞄准上海经济发展的趋势、跟踪经济发展中的人才需求，以学科链、专业链对接产业链，国际经济与贸易专业建设主动融入科教兴市的主战略，面向上海市 “五个中心”建设的总体目标，面向经济社会发展的切实需求，坚持为上海国际贸易中心和自由贸易区建设输送具有全球化视野的高级应用型对外经贸人才。</w:t>
      </w:r>
    </w:p>
    <w:p>
      <w:pPr>
        <w:tabs>
          <w:tab w:val="left" w:pos="1004"/>
        </w:tabs>
        <w:autoSpaceDE w:val="0"/>
        <w:autoSpaceDN w:val="0"/>
        <w:spacing w:line="360" w:lineRule="auto"/>
        <w:ind w:firstLine="436" w:firstLineChars="200"/>
        <w:rPr>
          <w:spacing w:val="-11"/>
        </w:rPr>
      </w:pPr>
      <w:r>
        <w:rPr>
          <w:rFonts w:hint="eastAsia"/>
          <w:spacing w:val="-11"/>
        </w:rPr>
        <w:t>（2）以全学分制和全程导师制为基础，打造国际经贸创新型人才培养模式。学校对2014级学生推行了全学分制和全程导师制，为发挥教师在本科人才培养中的主导作用，调动学生学习的积极性及在学生个性发展中的指导作用，提高人才培养质量，确保学分制的顺利实施。全体专业教师积极参与担任指导教师，向学生提供有关选课的规定、程序、毕业条件等信息，指导学生设计好适合学生个性发展的学习计划，选择专业方向等。</w:t>
      </w:r>
    </w:p>
    <w:p>
      <w:pPr>
        <w:tabs>
          <w:tab w:val="left" w:pos="1004"/>
        </w:tabs>
        <w:autoSpaceDE w:val="0"/>
        <w:autoSpaceDN w:val="0"/>
        <w:spacing w:line="360" w:lineRule="auto"/>
        <w:ind w:firstLine="436" w:firstLineChars="200"/>
        <w:rPr>
          <w:spacing w:val="-11"/>
        </w:rPr>
      </w:pPr>
      <w:r>
        <w:rPr>
          <w:rFonts w:hint="eastAsia"/>
          <w:spacing w:val="-11"/>
        </w:rPr>
        <w:t>（3）依托社会各种力量，加强国际经济与贸易专业师资队伍建设。为了更好地推进国际经济与贸易专业建设，我校聘请了一批知名学者和企业精英为兼职教师。国际经济与贸易专业现有专任教师1</w:t>
      </w:r>
      <w:r>
        <w:rPr>
          <w:spacing w:val="-11"/>
        </w:rPr>
        <w:t>2</w:t>
      </w:r>
      <w:r>
        <w:rPr>
          <w:rFonts w:hint="eastAsia"/>
          <w:spacing w:val="-11"/>
        </w:rPr>
        <w:t>人，具有高级职称教师5人，全部教师具有硕士以上学位，其中</w:t>
      </w:r>
      <w:r>
        <w:rPr>
          <w:spacing w:val="-11"/>
        </w:rPr>
        <w:t>6</w:t>
      </w:r>
      <w:r>
        <w:rPr>
          <w:rFonts w:hint="eastAsia"/>
          <w:spacing w:val="-11"/>
        </w:rPr>
        <w:t>人具有博士学位。经过长期的实践探索，国际经济与贸易专业已经初步形成了一支年龄、学历、职称、知识结构合理，教学科研水平较高和具有敬业精神的专业学科师资队伍。</w:t>
      </w:r>
    </w:p>
    <w:p>
      <w:pPr>
        <w:tabs>
          <w:tab w:val="left" w:pos="1004"/>
        </w:tabs>
        <w:autoSpaceDE w:val="0"/>
        <w:autoSpaceDN w:val="0"/>
        <w:spacing w:line="360" w:lineRule="auto"/>
        <w:ind w:firstLine="436" w:firstLineChars="200"/>
        <w:rPr>
          <w:spacing w:val="-11"/>
        </w:rPr>
      </w:pPr>
      <w:r>
        <w:rPr>
          <w:rFonts w:hint="eastAsia"/>
          <w:spacing w:val="-11"/>
        </w:rPr>
        <w:t>我校国际经济与贸易专业已经建设成为特色鲜明、具有一定社会影响力的本科专业。专业建设思路清晰、目标明确、有贴合实际的建设措施。</w:t>
      </w:r>
    </w:p>
    <w:p>
      <w:pPr>
        <w:tabs>
          <w:tab w:val="left" w:pos="1004"/>
        </w:tabs>
        <w:autoSpaceDE w:val="0"/>
        <w:autoSpaceDN w:val="0"/>
        <w:spacing w:line="360" w:lineRule="auto"/>
        <w:ind w:left="516" w:right="397"/>
        <w:jc w:val="both"/>
        <w:rPr>
          <w:rFonts w:cs="黑体"/>
          <w:b/>
          <w:bCs/>
          <w:spacing w:val="-11"/>
        </w:rPr>
      </w:pPr>
      <w:r>
        <w:rPr>
          <w:rFonts w:hint="eastAsia" w:cs="黑体"/>
          <w:b/>
          <w:bCs/>
          <w:spacing w:val="-11"/>
        </w:rPr>
        <w:t>2、培养目标</w:t>
      </w:r>
    </w:p>
    <w:p>
      <w:pPr>
        <w:tabs>
          <w:tab w:val="left" w:pos="1004"/>
        </w:tabs>
        <w:autoSpaceDE w:val="0"/>
        <w:autoSpaceDN w:val="0"/>
        <w:spacing w:line="360" w:lineRule="auto"/>
        <w:ind w:firstLine="436" w:firstLineChars="200"/>
        <w:rPr>
          <w:spacing w:val="-11"/>
        </w:rPr>
      </w:pPr>
      <w:r>
        <w:rPr>
          <w:rFonts w:hint="eastAsia"/>
          <w:spacing w:val="-11"/>
        </w:rPr>
        <w:t>本专业旨在培养践行社会主义核心价值观，具有良好的思想品质和道德修养，系统掌握经济学理论基础，掌握国际经济与贸易的基本理论、基本知识与基本技能，熟悉国际通行的经贸规则以及我国对外贸易的政策法规，认识与把握国内外经济、贸易运行的机制和发展规律，能够胜任涉外经济贸易部门、各类外向型企业及政府机构从事对外经贸业务、管理和研究的应用型、复合型、创新型国际经贸人才。</w:t>
      </w:r>
    </w:p>
    <w:p>
      <w:pPr>
        <w:tabs>
          <w:tab w:val="left" w:pos="1004"/>
        </w:tabs>
        <w:autoSpaceDE w:val="0"/>
        <w:autoSpaceDN w:val="0"/>
        <w:spacing w:line="360" w:lineRule="auto"/>
        <w:ind w:firstLine="436" w:firstLineChars="200"/>
      </w:pPr>
      <w:r>
        <w:rPr>
          <w:rFonts w:hint="eastAsia"/>
          <w:spacing w:val="-11"/>
        </w:rPr>
        <w:t>本专业的建设目标是培养学生成为“专业基础知识扎实、应用技能优秀、综合素质全面”的社会急需的国际经济与贸易复合型创新应用人。培养目标符合学校定位，适应社会需求。近五年毕业生就业情况良好，用人单位对本专业毕业的学生也给予了较高的评价。同时，国际经济与贸易专业建立了培养目标合理性评价的机制，通过内外需求的调研，定期评价培养目标的合理性，依据评价结果定期修订专业培养目标，评价和修订过程有邀请行业企业专家参与。</w:t>
      </w:r>
    </w:p>
    <w:p>
      <w:pPr>
        <w:pStyle w:val="3"/>
        <w:spacing w:after="120" w:line="360" w:lineRule="auto"/>
        <w:jc w:val="left"/>
        <w:rPr>
          <w:rFonts w:ascii="宋体" w:hAnsi="宋体"/>
          <w:sz w:val="24"/>
          <w:szCs w:val="24"/>
        </w:rPr>
      </w:pPr>
      <w:bookmarkStart w:id="14" w:name="_Toc154735766"/>
      <w:r>
        <w:rPr>
          <w:rFonts w:ascii="宋体" w:hAnsi="宋体"/>
          <w:sz w:val="24"/>
          <w:szCs w:val="24"/>
        </w:rPr>
        <w:t>2.</w:t>
      </w:r>
      <w:r>
        <w:rPr>
          <w:rFonts w:hint="eastAsia" w:ascii="宋体" w:hAnsi="宋体"/>
          <w:sz w:val="24"/>
          <w:szCs w:val="24"/>
        </w:rPr>
        <w:t>毕业要求</w:t>
      </w:r>
      <w:bookmarkEnd w:id="14"/>
    </w:p>
    <w:p>
      <w:pPr>
        <w:spacing w:line="360" w:lineRule="auto"/>
        <w:ind w:firstLine="436" w:firstLineChars="200"/>
        <w:jc w:val="both"/>
        <w:rPr>
          <w:spacing w:val="-11"/>
        </w:rPr>
      </w:pPr>
      <w:r>
        <w:rPr>
          <w:rFonts w:hint="eastAsia"/>
          <w:spacing w:val="-11"/>
        </w:rPr>
        <w:t>新时代中国高校</w:t>
      </w:r>
      <w:r>
        <w:rPr>
          <w:spacing w:val="-11"/>
        </w:rPr>
        <w:t>国际经济与贸易专业</w:t>
      </w:r>
      <w:r>
        <w:rPr>
          <w:rFonts w:hint="eastAsia"/>
          <w:spacing w:val="-11"/>
        </w:rPr>
        <w:t>毕业生，除牢固掌握</w:t>
      </w:r>
      <w:r>
        <w:rPr>
          <w:spacing w:val="-11"/>
        </w:rPr>
        <w:t>学科</w:t>
      </w:r>
      <w:r>
        <w:rPr>
          <w:rFonts w:hint="eastAsia"/>
          <w:spacing w:val="-11"/>
        </w:rPr>
        <w:t>专业</w:t>
      </w:r>
      <w:r>
        <w:rPr>
          <w:spacing w:val="-11"/>
        </w:rPr>
        <w:t>知识</w:t>
      </w:r>
      <w:r>
        <w:rPr>
          <w:rFonts w:hint="eastAsia"/>
          <w:spacing w:val="-11"/>
        </w:rPr>
        <w:t>以外，同时也应在</w:t>
      </w:r>
      <w:r>
        <w:rPr>
          <w:spacing w:val="-11"/>
        </w:rPr>
        <w:t>思想品德、创新能力、实践能力、信息运用、沟通表达、团队合作、国际视野和学习发展</w:t>
      </w:r>
      <w:r>
        <w:rPr>
          <w:rFonts w:hint="eastAsia"/>
          <w:spacing w:val="-11"/>
        </w:rPr>
        <w:t>各方面取得全面均衡的发展。</w:t>
      </w:r>
    </w:p>
    <w:p>
      <w:pPr>
        <w:widowControl w:val="0"/>
        <w:numPr>
          <w:ilvl w:val="0"/>
          <w:numId w:val="1"/>
        </w:numPr>
        <w:spacing w:line="360" w:lineRule="auto"/>
        <w:jc w:val="both"/>
        <w:rPr>
          <w:spacing w:val="-11"/>
        </w:rPr>
      </w:pPr>
      <w:r>
        <w:rPr>
          <w:spacing w:val="-11"/>
        </w:rPr>
        <w:t>思想品德</w:t>
      </w:r>
      <w:r>
        <w:rPr>
          <w:rFonts w:hint="eastAsia"/>
          <w:spacing w:val="-11"/>
        </w:rPr>
        <w:t>上，</w:t>
      </w:r>
      <w:r>
        <w:rPr>
          <w:spacing w:val="-11"/>
        </w:rPr>
        <w:t>作为国际经济与贸易专业的毕业生，应</w:t>
      </w:r>
      <w:r>
        <w:rPr>
          <w:rFonts w:hint="eastAsia"/>
          <w:spacing w:val="-11"/>
        </w:rPr>
        <w:t>当</w:t>
      </w:r>
      <w:r>
        <w:rPr>
          <w:spacing w:val="-11"/>
        </w:rPr>
        <w:t>具备高度的道德品质和正确的价值观念</w:t>
      </w:r>
      <w:r>
        <w:rPr>
          <w:rFonts w:hint="eastAsia"/>
          <w:spacing w:val="-11"/>
        </w:rPr>
        <w:t>，</w:t>
      </w:r>
      <w:r>
        <w:rPr>
          <w:spacing w:val="-11"/>
        </w:rPr>
        <w:t>秉持诚实、正直、公平和诚信的原则，在各种情况下保持良好的道德操守。</w:t>
      </w:r>
    </w:p>
    <w:p>
      <w:pPr>
        <w:widowControl w:val="0"/>
        <w:numPr>
          <w:ilvl w:val="0"/>
          <w:numId w:val="1"/>
        </w:numPr>
        <w:spacing w:line="360" w:lineRule="auto"/>
        <w:jc w:val="both"/>
        <w:rPr>
          <w:spacing w:val="-11"/>
        </w:rPr>
      </w:pPr>
      <w:r>
        <w:rPr>
          <w:spacing w:val="-11"/>
        </w:rPr>
        <w:t>学科知识</w:t>
      </w:r>
      <w:r>
        <w:rPr>
          <w:rFonts w:hint="eastAsia"/>
          <w:spacing w:val="-11"/>
        </w:rPr>
        <w:t>上</w:t>
      </w:r>
      <w:r>
        <w:rPr>
          <w:spacing w:val="-11"/>
        </w:rPr>
        <w:t>, 需要掌握国际经济与贸易领域的核心知识，包括宏观经济学、微观经济学、国际贸易政策、国际金融、国际商法等方面的理论和实践知识</w:t>
      </w:r>
      <w:r>
        <w:rPr>
          <w:rFonts w:hint="eastAsia"/>
          <w:spacing w:val="-11"/>
        </w:rPr>
        <w:t>，</w:t>
      </w:r>
      <w:r>
        <w:rPr>
          <w:spacing w:val="-11"/>
        </w:rPr>
        <w:t>对国际市场、国际贸易规则、国际经济合作等内容有深入的了解。</w:t>
      </w:r>
    </w:p>
    <w:p>
      <w:pPr>
        <w:widowControl w:val="0"/>
        <w:numPr>
          <w:ilvl w:val="0"/>
          <w:numId w:val="1"/>
        </w:numPr>
        <w:spacing w:line="360" w:lineRule="auto"/>
        <w:jc w:val="both"/>
        <w:rPr>
          <w:spacing w:val="-11"/>
        </w:rPr>
      </w:pPr>
      <w:r>
        <w:rPr>
          <w:spacing w:val="-11"/>
        </w:rPr>
        <w:t>创新能力</w:t>
      </w:r>
      <w:r>
        <w:rPr>
          <w:rFonts w:hint="eastAsia"/>
          <w:spacing w:val="-11"/>
        </w:rPr>
        <w:t>上，</w:t>
      </w:r>
      <w:r>
        <w:rPr>
          <w:spacing w:val="-11"/>
        </w:rPr>
        <w:t>作为国际经济与贸易专业的毕业生，应</w:t>
      </w:r>
      <w:r>
        <w:rPr>
          <w:rFonts w:hint="eastAsia"/>
          <w:spacing w:val="-11"/>
        </w:rPr>
        <w:t>当</w:t>
      </w:r>
      <w:r>
        <w:rPr>
          <w:spacing w:val="-11"/>
        </w:rPr>
        <w:t>具备创新思维和解决问题的能力。能够独立思考，发现问题并提出创新的解决方案。同时，还应</w:t>
      </w:r>
      <w:r>
        <w:rPr>
          <w:rFonts w:hint="eastAsia"/>
          <w:spacing w:val="-11"/>
        </w:rPr>
        <w:t>当</w:t>
      </w:r>
      <w:r>
        <w:rPr>
          <w:spacing w:val="-11"/>
        </w:rPr>
        <w:t>具备跨学科的能力，能够将不同领域的知识和理念融合到国际经济与贸易实践中</w:t>
      </w:r>
      <w:r>
        <w:rPr>
          <w:rFonts w:hint="eastAsia"/>
          <w:spacing w:val="-11"/>
        </w:rPr>
        <w:t>。</w:t>
      </w:r>
    </w:p>
    <w:p>
      <w:pPr>
        <w:widowControl w:val="0"/>
        <w:numPr>
          <w:ilvl w:val="0"/>
          <w:numId w:val="1"/>
        </w:numPr>
        <w:spacing w:line="360" w:lineRule="auto"/>
        <w:jc w:val="both"/>
        <w:rPr>
          <w:spacing w:val="-11"/>
        </w:rPr>
      </w:pPr>
      <w:r>
        <w:rPr>
          <w:spacing w:val="-11"/>
        </w:rPr>
        <w:t>实践能力</w:t>
      </w:r>
      <w:r>
        <w:rPr>
          <w:rFonts w:hint="eastAsia"/>
          <w:spacing w:val="-11"/>
        </w:rPr>
        <w:t>上，应</w:t>
      </w:r>
      <w:r>
        <w:rPr>
          <w:spacing w:val="-11"/>
        </w:rPr>
        <w:t>具备实践操作的能力，</w:t>
      </w:r>
      <w:r>
        <w:rPr>
          <w:rFonts w:hint="eastAsia"/>
          <w:spacing w:val="-11"/>
        </w:rPr>
        <w:t>将</w:t>
      </w:r>
      <w:r>
        <w:rPr>
          <w:spacing w:val="-11"/>
        </w:rPr>
        <w:t>所学知识</w:t>
      </w:r>
      <w:r>
        <w:rPr>
          <w:rFonts w:hint="eastAsia"/>
          <w:spacing w:val="-11"/>
        </w:rPr>
        <w:t>用于</w:t>
      </w:r>
      <w:r>
        <w:rPr>
          <w:spacing w:val="-11"/>
        </w:rPr>
        <w:t>解决实际问题</w:t>
      </w:r>
      <w:r>
        <w:rPr>
          <w:rFonts w:hint="eastAsia"/>
          <w:spacing w:val="-11"/>
        </w:rPr>
        <w:t>，</w:t>
      </w:r>
      <w:r>
        <w:rPr>
          <w:spacing w:val="-11"/>
        </w:rPr>
        <w:t>包括数据分析、市场调研、贸易谈判、国际商务合作等方面的实践能力</w:t>
      </w:r>
      <w:r>
        <w:rPr>
          <w:rFonts w:hint="eastAsia"/>
          <w:spacing w:val="-11"/>
        </w:rPr>
        <w:t>。同时，</w:t>
      </w:r>
      <w:r>
        <w:rPr>
          <w:spacing w:val="-11"/>
        </w:rPr>
        <w:t>还应该具备良好的项目管理和组织协调能力，能够有效地完成实践任务</w:t>
      </w:r>
      <w:r>
        <w:rPr>
          <w:rFonts w:hint="eastAsia"/>
          <w:spacing w:val="-11"/>
        </w:rPr>
        <w:t>。</w:t>
      </w:r>
    </w:p>
    <w:p>
      <w:pPr>
        <w:widowControl w:val="0"/>
        <w:numPr>
          <w:ilvl w:val="0"/>
          <w:numId w:val="1"/>
        </w:numPr>
        <w:spacing w:line="360" w:lineRule="auto"/>
        <w:jc w:val="both"/>
        <w:rPr>
          <w:spacing w:val="-11"/>
        </w:rPr>
      </w:pPr>
      <w:r>
        <w:rPr>
          <w:spacing w:val="-11"/>
        </w:rPr>
        <w:t>信息运用</w:t>
      </w:r>
      <w:r>
        <w:rPr>
          <w:rFonts w:hint="eastAsia"/>
          <w:spacing w:val="-11"/>
        </w:rPr>
        <w:t>上，</w:t>
      </w:r>
      <w:r>
        <w:rPr>
          <w:spacing w:val="-11"/>
        </w:rPr>
        <w:t>应</w:t>
      </w:r>
      <w:r>
        <w:rPr>
          <w:rFonts w:hint="eastAsia"/>
          <w:spacing w:val="-11"/>
        </w:rPr>
        <w:t>当</w:t>
      </w:r>
      <w:r>
        <w:rPr>
          <w:spacing w:val="-11"/>
        </w:rPr>
        <w:t>能够熟练运用信息技术工具和数据分析方法，收集、整理和分析与国际经济与贸易相关的信息</w:t>
      </w:r>
      <w:r>
        <w:rPr>
          <w:rFonts w:hint="eastAsia"/>
          <w:spacing w:val="-11"/>
        </w:rPr>
        <w:t>，</w:t>
      </w:r>
      <w:r>
        <w:rPr>
          <w:spacing w:val="-11"/>
        </w:rPr>
        <w:t>能够从大量的信息中筛选出有价值的内容，并加以运用到具体的决策和解决方案中。</w:t>
      </w:r>
    </w:p>
    <w:p>
      <w:pPr>
        <w:widowControl w:val="0"/>
        <w:numPr>
          <w:ilvl w:val="0"/>
          <w:numId w:val="1"/>
        </w:numPr>
        <w:spacing w:line="360" w:lineRule="auto"/>
        <w:jc w:val="both"/>
        <w:rPr>
          <w:spacing w:val="-11"/>
        </w:rPr>
      </w:pPr>
      <w:r>
        <w:rPr>
          <w:spacing w:val="-11"/>
        </w:rPr>
        <w:t>沟通表达</w:t>
      </w:r>
      <w:r>
        <w:rPr>
          <w:rFonts w:hint="eastAsia"/>
          <w:spacing w:val="-11"/>
        </w:rPr>
        <w:t>上，</w:t>
      </w:r>
      <w:r>
        <w:rPr>
          <w:spacing w:val="-11"/>
        </w:rPr>
        <w:t>需要具备良好的沟通和表达能力，能够清晰、准确地传达自己的想法和观点。无论是口头沟通还是书面表达，应该能够与他人有效地交流，并能够以清晰的逻辑和合适的语言表达自己的观点。</w:t>
      </w:r>
    </w:p>
    <w:p>
      <w:pPr>
        <w:widowControl w:val="0"/>
        <w:numPr>
          <w:ilvl w:val="0"/>
          <w:numId w:val="1"/>
        </w:numPr>
        <w:spacing w:line="360" w:lineRule="auto"/>
        <w:jc w:val="both"/>
        <w:rPr>
          <w:spacing w:val="-11"/>
        </w:rPr>
      </w:pPr>
      <w:r>
        <w:rPr>
          <w:spacing w:val="-11"/>
        </w:rPr>
        <w:t>团队合作</w:t>
      </w:r>
      <w:r>
        <w:rPr>
          <w:rFonts w:hint="eastAsia"/>
          <w:spacing w:val="-11"/>
        </w:rPr>
        <w:t>上，需要</w:t>
      </w:r>
      <w:r>
        <w:rPr>
          <w:spacing w:val="-11"/>
        </w:rPr>
        <w:t>具备良好的团队合作精神和合作能力</w:t>
      </w:r>
      <w:r>
        <w:rPr>
          <w:rFonts w:hint="eastAsia"/>
          <w:spacing w:val="-11"/>
        </w:rPr>
        <w:t>，</w:t>
      </w:r>
      <w:r>
        <w:rPr>
          <w:spacing w:val="-11"/>
        </w:rPr>
        <w:t>应该能够在团队中有效地协调与合作，倾听他人意见并提供积极的反馈。同时，还应该能够在团队中扮演积极的领导者角色，推动团队向共同目标迈进。</w:t>
      </w:r>
    </w:p>
    <w:p>
      <w:pPr>
        <w:widowControl w:val="0"/>
        <w:numPr>
          <w:ilvl w:val="0"/>
          <w:numId w:val="1"/>
        </w:numPr>
        <w:spacing w:line="360" w:lineRule="auto"/>
        <w:jc w:val="both"/>
        <w:rPr>
          <w:spacing w:val="-11"/>
        </w:rPr>
      </w:pPr>
      <w:r>
        <w:rPr>
          <w:spacing w:val="-11"/>
        </w:rPr>
        <w:t>国际视野</w:t>
      </w:r>
      <w:r>
        <w:rPr>
          <w:rFonts w:hint="eastAsia"/>
          <w:spacing w:val="-11"/>
        </w:rPr>
        <w:t>上，</w:t>
      </w:r>
      <w:r>
        <w:rPr>
          <w:spacing w:val="-11"/>
        </w:rPr>
        <w:t>需要具备国际化的视野和跨文化交流的能力</w:t>
      </w:r>
      <w:r>
        <w:rPr>
          <w:rFonts w:hint="eastAsia"/>
          <w:spacing w:val="-11"/>
        </w:rPr>
        <w:t>，</w:t>
      </w:r>
      <w:r>
        <w:rPr>
          <w:spacing w:val="-11"/>
        </w:rPr>
        <w:t>了解不同国家和地区的经济、政治、文化差异，能够适应跨文化环境中的工作和交往。</w:t>
      </w:r>
      <w:r>
        <w:rPr>
          <w:rFonts w:hint="eastAsia"/>
          <w:spacing w:val="-11"/>
        </w:rPr>
        <w:t>同时，</w:t>
      </w:r>
      <w:r>
        <w:rPr>
          <w:spacing w:val="-11"/>
        </w:rPr>
        <w:t>还应</w:t>
      </w:r>
      <w:r>
        <w:rPr>
          <w:rFonts w:hint="eastAsia"/>
          <w:spacing w:val="-11"/>
        </w:rPr>
        <w:t>当</w:t>
      </w:r>
      <w:r>
        <w:rPr>
          <w:spacing w:val="-11"/>
        </w:rPr>
        <w:t>关注全球经济形势和国际贸易动态，具备洞察国际经济趋势的能力。</w:t>
      </w:r>
    </w:p>
    <w:p>
      <w:pPr>
        <w:widowControl w:val="0"/>
        <w:numPr>
          <w:ilvl w:val="0"/>
          <w:numId w:val="1"/>
        </w:numPr>
        <w:spacing w:line="360" w:lineRule="auto"/>
        <w:jc w:val="both"/>
        <w:rPr>
          <w:spacing w:val="-11"/>
        </w:rPr>
      </w:pPr>
      <w:r>
        <w:rPr>
          <w:spacing w:val="-11"/>
        </w:rPr>
        <w:t>学习发展</w:t>
      </w:r>
      <w:r>
        <w:rPr>
          <w:rFonts w:hint="eastAsia"/>
          <w:spacing w:val="-11"/>
        </w:rPr>
        <w:t>上，</w:t>
      </w:r>
      <w:r>
        <w:rPr>
          <w:spacing w:val="-11"/>
        </w:rPr>
        <w:t>作为国际经济与贸易专业的毕业生，应该具备持续学习和自我发展的意识。需要积极主动地更新知识和技能，不断提升自己的专业水平。</w:t>
      </w:r>
      <w:r>
        <w:rPr>
          <w:rFonts w:hint="eastAsia"/>
          <w:spacing w:val="-11"/>
        </w:rPr>
        <w:t>同时，</w:t>
      </w:r>
      <w:r>
        <w:rPr>
          <w:spacing w:val="-11"/>
        </w:rPr>
        <w:t>还应该具备学习新知识和适应新环境的能力，以应对不断变化的国际经济与贸易领域的挑战。</w:t>
      </w:r>
    </w:p>
    <w:p>
      <w:pPr>
        <w:spacing w:line="360" w:lineRule="auto"/>
        <w:ind w:firstLine="436" w:firstLineChars="200"/>
        <w:jc w:val="both"/>
        <w:rPr>
          <w:spacing w:val="-11"/>
        </w:rPr>
      </w:pPr>
      <w:r>
        <w:rPr>
          <w:rFonts w:hint="eastAsia"/>
          <w:spacing w:val="-11"/>
        </w:rPr>
        <w:t>以上述原则为目标，在长期教育实践的基础上，结合现实培养资源、条件和体系，在专业培养计划中将国际经济与贸易专业毕业要求具体化为：</w:t>
      </w:r>
    </w:p>
    <w:p>
      <w:pPr>
        <w:spacing w:line="360" w:lineRule="auto"/>
        <w:ind w:firstLine="436" w:firstLineChars="200"/>
        <w:jc w:val="both"/>
        <w:rPr>
          <w:spacing w:val="-11"/>
        </w:rPr>
      </w:pPr>
      <w:r>
        <w:rPr>
          <w:rFonts w:hint="eastAsia"/>
          <w:spacing w:val="-11"/>
        </w:rPr>
        <w:t>(</w:t>
      </w:r>
      <w:r>
        <w:rPr>
          <w:spacing w:val="-11"/>
        </w:rPr>
        <w:t>1)本专业基本学制 4 年，学生</w:t>
      </w:r>
      <w:r>
        <w:rPr>
          <w:rFonts w:hint="eastAsia"/>
          <w:spacing w:val="-11"/>
        </w:rPr>
        <w:t>须</w:t>
      </w:r>
      <w:r>
        <w:rPr>
          <w:spacing w:val="-11"/>
        </w:rPr>
        <w:t>在 3 至 6 年内完成学业。</w:t>
      </w:r>
    </w:p>
    <w:p>
      <w:pPr>
        <w:spacing w:line="360" w:lineRule="auto"/>
        <w:ind w:firstLine="436" w:firstLineChars="200"/>
        <w:jc w:val="both"/>
        <w:rPr>
          <w:spacing w:val="-11"/>
        </w:rPr>
      </w:pPr>
      <w:r>
        <w:rPr>
          <w:spacing w:val="-11"/>
        </w:rPr>
        <w:t>(2)在规定的学习年限内</w:t>
      </w:r>
      <w:r>
        <w:rPr>
          <w:rFonts w:hint="eastAsia"/>
          <w:spacing w:val="-11"/>
        </w:rPr>
        <w:t>：</w:t>
      </w:r>
    </w:p>
    <w:p>
      <w:pPr>
        <w:spacing w:line="360" w:lineRule="auto"/>
        <w:ind w:left="720" w:leftChars="300"/>
        <w:jc w:val="both"/>
        <w:rPr>
          <w:spacing w:val="-11"/>
        </w:rPr>
      </w:pPr>
      <w:r>
        <w:rPr>
          <w:rFonts w:hint="eastAsia"/>
          <w:spacing w:val="-11"/>
        </w:rPr>
        <w:t>1）</w:t>
      </w:r>
      <w:r>
        <w:rPr>
          <w:spacing w:val="-11"/>
        </w:rPr>
        <w:t>修满培养计划规定的各教学模块的学分，总学分达到 159 学分</w:t>
      </w:r>
      <w:r>
        <w:rPr>
          <w:rFonts w:hint="eastAsia"/>
          <w:spacing w:val="-11"/>
        </w:rPr>
        <w:t>，</w:t>
      </w:r>
      <w:r>
        <w:rPr>
          <w:spacing w:val="-11"/>
        </w:rPr>
        <w:t>其中各类必修学分达到137 学分，选修学分达到 22 学分（含第二课堂 4 学分）</w:t>
      </w:r>
      <w:r>
        <w:rPr>
          <w:rFonts w:hint="eastAsia"/>
          <w:spacing w:val="-11"/>
        </w:rPr>
        <w:t>；</w:t>
      </w:r>
    </w:p>
    <w:p>
      <w:pPr>
        <w:spacing w:line="360" w:lineRule="auto"/>
        <w:ind w:left="720" w:leftChars="300"/>
        <w:jc w:val="both"/>
        <w:rPr>
          <w:spacing w:val="-11"/>
        </w:rPr>
      </w:pPr>
      <w:r>
        <w:rPr>
          <w:rFonts w:hint="eastAsia"/>
          <w:spacing w:val="-11"/>
        </w:rPr>
        <w:t>2）在规定时间按规范要求独立完成撰写毕</w:t>
      </w:r>
      <w:r>
        <w:rPr>
          <w:spacing w:val="-11"/>
        </w:rPr>
        <w:t>业设计（论文）</w:t>
      </w:r>
      <w:r>
        <w:rPr>
          <w:rFonts w:hint="eastAsia"/>
          <w:spacing w:val="-11"/>
        </w:rPr>
        <w:t>，并通过答辩方</w:t>
      </w:r>
      <w:r>
        <w:rPr>
          <w:spacing w:val="-11"/>
        </w:rPr>
        <w:t>能毕业。</w:t>
      </w:r>
    </w:p>
    <w:p>
      <w:pPr>
        <w:spacing w:line="360" w:lineRule="auto"/>
        <w:ind w:firstLine="436" w:firstLineChars="200"/>
        <w:jc w:val="both"/>
        <w:rPr>
          <w:spacing w:val="-11"/>
        </w:rPr>
      </w:pPr>
      <w:r>
        <w:rPr>
          <w:rFonts w:hint="eastAsia"/>
          <w:spacing w:val="-11"/>
        </w:rPr>
        <w:t>(</w:t>
      </w:r>
      <w:r>
        <w:rPr>
          <w:spacing w:val="-11"/>
        </w:rPr>
        <w:t>3)本专业</w:t>
      </w:r>
      <w:r>
        <w:rPr>
          <w:rFonts w:hint="eastAsia"/>
          <w:spacing w:val="-11"/>
        </w:rPr>
        <w:t>同时</w:t>
      </w:r>
      <w:r>
        <w:rPr>
          <w:spacing w:val="-11"/>
        </w:rPr>
        <w:t>要求学生通过本科阶段的学习，毕业时获得如下方面的知识、能力和素养：</w:t>
      </w:r>
    </w:p>
    <w:p>
      <w:pPr>
        <w:widowControl w:val="0"/>
        <w:numPr>
          <w:ilvl w:val="0"/>
          <w:numId w:val="2"/>
        </w:numPr>
        <w:spacing w:line="360" w:lineRule="auto"/>
        <w:ind w:left="960" w:leftChars="400"/>
        <w:jc w:val="both"/>
        <w:rPr>
          <w:spacing w:val="-11"/>
        </w:rPr>
      </w:pPr>
      <w:r>
        <w:rPr>
          <w:spacing w:val="-11"/>
        </w:rPr>
        <w:t>热爱祖国，拥护中国共产党的领导，坚持马克思主义，掌握中国特色社会主义 理论体系，牢固树立社会主义核心价值观和正确的世界观、人生观，具有良好的政治 理论素养和思想道德素质，较强的创新精神和创业意识，良好的心理素质和健康的体魄；</w:t>
      </w:r>
    </w:p>
    <w:p>
      <w:pPr>
        <w:widowControl w:val="0"/>
        <w:numPr>
          <w:ilvl w:val="0"/>
          <w:numId w:val="2"/>
        </w:numPr>
        <w:spacing w:line="360" w:lineRule="auto"/>
        <w:ind w:left="960" w:leftChars="400"/>
        <w:jc w:val="both"/>
        <w:rPr>
          <w:spacing w:val="-11"/>
        </w:rPr>
      </w:pPr>
      <w:r>
        <w:rPr>
          <w:spacing w:val="-11"/>
        </w:rPr>
        <w:t>掌握经济学、国际经济与贸易的基本理论知识，掌握国际经贸相关业务知识, 了解国际经济与贸易学科的理论前沿和发展动态；</w:t>
      </w:r>
    </w:p>
    <w:p>
      <w:pPr>
        <w:widowControl w:val="0"/>
        <w:numPr>
          <w:ilvl w:val="0"/>
          <w:numId w:val="2"/>
        </w:numPr>
        <w:spacing w:line="360" w:lineRule="auto"/>
        <w:ind w:left="960" w:leftChars="400"/>
        <w:jc w:val="both"/>
        <w:rPr>
          <w:spacing w:val="-11"/>
        </w:rPr>
      </w:pPr>
      <w:r>
        <w:rPr>
          <w:spacing w:val="-11"/>
        </w:rPr>
        <w:t>具备一定的文学、历史、哲学、艺术、管理、法律等方面的知识，具有良好的 人文和艺术修养，掌握科学常识和现代科技发展趋势；</w:t>
      </w:r>
    </w:p>
    <w:p>
      <w:pPr>
        <w:widowControl w:val="0"/>
        <w:numPr>
          <w:ilvl w:val="0"/>
          <w:numId w:val="2"/>
        </w:numPr>
        <w:spacing w:line="360" w:lineRule="auto"/>
        <w:ind w:left="960" w:leftChars="400"/>
        <w:jc w:val="both"/>
        <w:rPr>
          <w:spacing w:val="-11"/>
        </w:rPr>
      </w:pPr>
      <w:r>
        <w:rPr>
          <w:spacing w:val="-11"/>
        </w:rPr>
        <w:t>具有人文社会科学素养、社会责任感，能够在国际经贸实践中发扬崇尚劳动、 无私奉献的精神，理解并遵守商务职业道德和规范；</w:t>
      </w:r>
    </w:p>
    <w:p>
      <w:pPr>
        <w:widowControl w:val="0"/>
        <w:numPr>
          <w:ilvl w:val="0"/>
          <w:numId w:val="2"/>
        </w:numPr>
        <w:spacing w:line="360" w:lineRule="auto"/>
        <w:ind w:left="960" w:leftChars="400"/>
        <w:jc w:val="both"/>
        <w:rPr>
          <w:spacing w:val="-11"/>
        </w:rPr>
      </w:pPr>
      <w:r>
        <w:rPr>
          <w:spacing w:val="-11"/>
        </w:rPr>
        <w:t>掌握定性、定量分析方法；具有运用上述知识解决实际问题的基本素质和能 力；</w:t>
      </w:r>
    </w:p>
    <w:p>
      <w:pPr>
        <w:widowControl w:val="0"/>
        <w:numPr>
          <w:ilvl w:val="0"/>
          <w:numId w:val="2"/>
        </w:numPr>
        <w:spacing w:line="360" w:lineRule="auto"/>
        <w:ind w:left="960" w:leftChars="400"/>
        <w:jc w:val="both"/>
        <w:rPr>
          <w:spacing w:val="-11"/>
        </w:rPr>
      </w:pPr>
      <w:r>
        <w:rPr>
          <w:spacing w:val="-11"/>
        </w:rPr>
        <w:t>具有较宽广的国际视野，具有一定的创新能力和对新知识的主动获取能力；</w:t>
      </w:r>
    </w:p>
    <w:p>
      <w:pPr>
        <w:widowControl w:val="0"/>
        <w:numPr>
          <w:ilvl w:val="0"/>
          <w:numId w:val="2"/>
        </w:numPr>
        <w:spacing w:line="360" w:lineRule="auto"/>
        <w:ind w:left="960" w:leftChars="400"/>
        <w:jc w:val="both"/>
        <w:rPr>
          <w:spacing w:val="-11"/>
        </w:rPr>
      </w:pPr>
      <w:r>
        <w:rPr>
          <w:spacing w:val="-11"/>
        </w:rPr>
        <w:t>具有较强的语言与文字表达、跨文化人际沟通交流能力；</w:t>
      </w:r>
    </w:p>
    <w:p>
      <w:pPr>
        <w:widowControl w:val="0"/>
        <w:numPr>
          <w:ilvl w:val="0"/>
          <w:numId w:val="2"/>
        </w:numPr>
        <w:spacing w:line="360" w:lineRule="auto"/>
        <w:ind w:left="960" w:leftChars="400"/>
        <w:jc w:val="both"/>
        <w:rPr>
          <w:spacing w:val="-11"/>
        </w:rPr>
      </w:pPr>
      <w:r>
        <w:rPr>
          <w:spacing w:val="-11"/>
        </w:rPr>
        <w:t>掌握文献检索、资料查询和调查研究的基本方法，具有初步的科学研究和实践 工作能力；</w:t>
      </w:r>
    </w:p>
    <w:p>
      <w:pPr>
        <w:widowControl w:val="0"/>
        <w:numPr>
          <w:ilvl w:val="0"/>
          <w:numId w:val="2"/>
        </w:numPr>
        <w:spacing w:line="360" w:lineRule="auto"/>
        <w:ind w:left="960" w:leftChars="400"/>
        <w:jc w:val="both"/>
        <w:rPr>
          <w:spacing w:val="-11"/>
        </w:rPr>
      </w:pPr>
      <w:r>
        <w:rPr>
          <w:spacing w:val="-11"/>
        </w:rPr>
        <w:t>熟练掌握一门外语，具备专业外文文献阅读与听、说、写外语能力；</w:t>
      </w:r>
    </w:p>
    <w:p>
      <w:pPr>
        <w:widowControl w:val="0"/>
        <w:numPr>
          <w:ilvl w:val="0"/>
          <w:numId w:val="2"/>
        </w:numPr>
        <w:spacing w:line="360" w:lineRule="auto"/>
        <w:ind w:left="960" w:leftChars="400"/>
        <w:jc w:val="both"/>
        <w:rPr>
          <w:spacing w:val="-11"/>
        </w:rPr>
      </w:pPr>
      <w:r>
        <w:rPr>
          <w:spacing w:val="-11"/>
        </w:rPr>
        <w:t>熟练运用办公自动化软件等现代信息技术工具，能够运用 Python 语言编程； 具有贸易数字化转型的适应能力。</w:t>
      </w:r>
    </w:p>
    <w:p>
      <w:pPr>
        <w:pStyle w:val="3"/>
        <w:spacing w:after="120" w:line="415" w:lineRule="auto"/>
        <w:jc w:val="left"/>
        <w:rPr>
          <w:rFonts w:ascii="宋体" w:hAnsi="宋体"/>
          <w:sz w:val="28"/>
          <w:szCs w:val="28"/>
        </w:rPr>
      </w:pPr>
      <w:bookmarkStart w:id="15" w:name="_Toc154735767"/>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rPr>
          <w:rFonts w:ascii="宋体" w:hAnsi="宋体" w:eastAsia="宋体"/>
          <w:b w:val="0"/>
          <w:bCs w:val="0"/>
          <w:sz w:val="24"/>
          <w:szCs w:val="24"/>
        </w:rPr>
      </w:pPr>
      <w:bookmarkStart w:id="16" w:name="_Toc154735768"/>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shd w:val="clear" w:color="auto" w:fill="FFFFFF"/>
        <w:spacing w:before="156" w:beforeLines="50" w:line="400" w:lineRule="exact"/>
        <w:ind w:firstLine="471"/>
        <w:rPr>
          <w:color w:val="333333"/>
        </w:rPr>
      </w:pPr>
      <w:bookmarkStart w:id="17" w:name="_Toc154735769"/>
      <w:r>
        <w:rPr>
          <w:rFonts w:hint="eastAsia"/>
          <w:color w:val="333333"/>
        </w:rPr>
        <w:t>1、专业课程概况（包括专业教师开设的课程总门数，课程思政、精品课程、重点课程，双语课程、全英语课程、在线课程等建设和获批情况）。</w:t>
      </w:r>
    </w:p>
    <w:p>
      <w:pPr>
        <w:shd w:val="clear" w:color="auto" w:fill="FFFFFF"/>
        <w:spacing w:line="360" w:lineRule="auto"/>
        <w:ind w:firstLine="471"/>
      </w:pPr>
      <w:r>
        <w:rPr>
          <w:rFonts w:hint="eastAsia"/>
        </w:rPr>
        <w:t>根据20</w:t>
      </w:r>
      <w:r>
        <w:t>23</w:t>
      </w:r>
      <w:r>
        <w:rPr>
          <w:rFonts w:hint="eastAsia"/>
        </w:rPr>
        <w:t>级人才培养方案，国际经济与贸易专业教师开设的课程总门数</w:t>
      </w:r>
      <w:r>
        <w:t>2</w:t>
      </w:r>
      <w:r>
        <w:rPr>
          <w:rFonts w:hint="eastAsia"/>
        </w:rPr>
        <w:t>6门，其中学科基础平台课2门；专业课程1</w:t>
      </w:r>
      <w:r>
        <w:t>7</w:t>
      </w:r>
      <w:r>
        <w:rPr>
          <w:rFonts w:hint="eastAsia"/>
        </w:rPr>
        <w:t>门（其中必修课程</w:t>
      </w:r>
      <w:r>
        <w:t>8</w:t>
      </w:r>
      <w:r>
        <w:rPr>
          <w:rFonts w:hint="eastAsia"/>
        </w:rPr>
        <w:t>门，选修课程9门）；集中实践教学环节课程</w:t>
      </w:r>
      <w:r>
        <w:t>7</w:t>
      </w:r>
      <w:r>
        <w:rPr>
          <w:rFonts w:hint="eastAsia"/>
        </w:rPr>
        <w:t>门。本专业高度重视课程思政工作，专业教师积极将上海自贸试验区建设、“一带一路”倡议和双循环新发展格局等课程思政元素融入到国际贸易学、世界经济和中国对外贸易等专业课程的教学之中。</w:t>
      </w:r>
    </w:p>
    <w:p>
      <w:pPr>
        <w:shd w:val="clear" w:color="auto" w:fill="FFFFFF"/>
        <w:spacing w:line="360" w:lineRule="auto"/>
        <w:ind w:firstLine="471"/>
        <w:rPr>
          <w:rFonts w:ascii="微软雅黑" w:hAnsi="微软雅黑" w:eastAsia="微软雅黑"/>
          <w:color w:val="333333"/>
          <w:sz w:val="15"/>
          <w:szCs w:val="15"/>
        </w:rPr>
      </w:pPr>
      <w:r>
        <w:rPr>
          <w:rFonts w:hint="eastAsia"/>
        </w:rPr>
        <w:t>为满足国际经济与贸易（国际班）专业的教学需要，专业教师持续建设一系列全英语课程，包括国际贸易学、世界经济、国际贸易实务、国际服务贸易、单证业务实习、外贸业务综合实习等全英语课程。2</w:t>
      </w:r>
      <w:r>
        <w:t>022</w:t>
      </w:r>
      <w:r>
        <w:rPr>
          <w:rFonts w:hint="eastAsia"/>
        </w:rPr>
        <w:t>年还新增了校级一流课程建设（线上、线下混合式教学）——国际贸易学以及校级思政课程建设——国际商法。</w:t>
      </w:r>
    </w:p>
    <w:p>
      <w:pPr>
        <w:shd w:val="clear" w:color="auto" w:fill="FFFFFF"/>
        <w:spacing w:line="360" w:lineRule="auto"/>
        <w:ind w:firstLine="360"/>
        <w:rPr>
          <w:color w:val="333333"/>
        </w:rPr>
      </w:pPr>
      <w:r>
        <w:rPr>
          <w:rFonts w:hint="eastAsia"/>
          <w:color w:val="333333"/>
        </w:rPr>
        <w:t>2．课程教学大纲制定情况</w:t>
      </w:r>
    </w:p>
    <w:p>
      <w:pPr>
        <w:shd w:val="clear" w:color="auto" w:fill="FFFFFF"/>
        <w:spacing w:line="360" w:lineRule="auto"/>
        <w:ind w:firstLine="480" w:firstLineChars="200"/>
      </w:pPr>
      <w:r>
        <w:rPr>
          <w:rFonts w:hint="eastAsia"/>
        </w:rPr>
        <w:t>国际经济与贸易专业高度重视课程教学大纲的制定和修订。</w:t>
      </w:r>
      <w:r>
        <w:t>要求每门任课教师必须</w:t>
      </w:r>
      <w:r>
        <w:rPr>
          <w:rFonts w:hint="eastAsia"/>
        </w:rPr>
        <w:t>在</w:t>
      </w:r>
      <w:r>
        <w:t>开课前备好教学大纲、教学计划表和教学方案，其中教学大纲和教学计划表每学期</w:t>
      </w:r>
      <w:r>
        <w:rPr>
          <w:rFonts w:hint="eastAsia"/>
        </w:rPr>
        <w:t>在</w:t>
      </w:r>
      <w:r>
        <w:t>开课前必须向教务处提交备案。首次开课的教师必须将这些基本教学文件交由系主任和教学副院长两级审核，审核通过后才能上交教务处，并且正常开课。对培养计划中的每门课程均制定有完备的教学文件，包括：课程简介、教学大纲、教学方案、课程教案、PPT课件等。对于考卷，系主任和教学副院长两级审核后方可印刷使用，归档率达到100%。</w:t>
      </w:r>
    </w:p>
    <w:p>
      <w:pPr>
        <w:shd w:val="clear" w:color="auto" w:fill="FFFFFF"/>
        <w:spacing w:line="360" w:lineRule="auto"/>
        <w:ind w:firstLine="480" w:firstLineChars="200"/>
      </w:pPr>
    </w:p>
    <w:p>
      <w:pPr>
        <w:shd w:val="clear" w:color="auto" w:fill="FFFFFF"/>
        <w:spacing w:line="360" w:lineRule="auto"/>
        <w:ind w:firstLine="480" w:firstLineChars="200"/>
      </w:pPr>
      <w:r>
        <w:rPr>
          <w:rFonts w:hint="eastAsia"/>
        </w:rPr>
        <w:t>3．教材建设情况</w:t>
      </w:r>
    </w:p>
    <w:p>
      <w:pPr>
        <w:shd w:val="clear" w:color="auto" w:fill="FFFFFF"/>
        <w:spacing w:line="360" w:lineRule="auto"/>
        <w:ind w:firstLine="480" w:firstLineChars="200"/>
      </w:pPr>
      <w:r>
        <w:rPr>
          <w:rFonts w:hint="eastAsia"/>
        </w:rPr>
        <w:t>国际经济与贸易专业十分重视教材建设。近年来本专业教师针对学生的特点和人才培养的需要，撰写出版和修订再版了教材</w:t>
      </w:r>
      <w:r>
        <w:t>7</w:t>
      </w:r>
      <w:r>
        <w:rPr>
          <w:rFonts w:hint="eastAsia"/>
        </w:rPr>
        <w:t>本（中国社会科学出版社、清华大学出版社等），并将其应用到教学过程之中，有力地促进了专业教学。</w:t>
      </w:r>
    </w:p>
    <w:p>
      <w:pPr>
        <w:pStyle w:val="4"/>
        <w:rPr>
          <w:rFonts w:ascii="宋体" w:hAnsi="宋体" w:eastAsia="宋体"/>
          <w:b w:val="0"/>
          <w:bCs w:val="0"/>
          <w:sz w:val="24"/>
          <w:szCs w:val="24"/>
        </w:rPr>
      </w:pPr>
      <w:r>
        <w:rPr>
          <w:rFonts w:ascii="宋体" w:hAnsi="宋体" w:eastAsia="宋体"/>
          <w:b w:val="0"/>
          <w:bCs w:val="0"/>
          <w:sz w:val="24"/>
          <w:szCs w:val="24"/>
        </w:rPr>
        <w:t>3.2专业教学计划</w:t>
      </w:r>
      <w:bookmarkEnd w:id="17"/>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p>
      <w:pPr>
        <w:spacing w:line="360" w:lineRule="auto"/>
        <w:ind w:firstLine="480" w:firstLineChars="200"/>
      </w:pPr>
      <w:r>
        <w:rPr>
          <w:rFonts w:hint="eastAsia"/>
        </w:rPr>
        <w:t>专业教学中，理论教学学时为</w:t>
      </w:r>
      <w:r>
        <w:t>2046</w:t>
      </w:r>
      <w:r>
        <w:rPr>
          <w:rFonts w:hint="eastAsia"/>
        </w:rPr>
        <w:t>，占总学时比为5</w:t>
      </w:r>
      <w:r>
        <w:t>8.79%</w:t>
      </w:r>
      <w:r>
        <w:rPr>
          <w:rFonts w:hint="eastAsia"/>
        </w:rPr>
        <w:t>，占总学分比例为7</w:t>
      </w:r>
      <w:r>
        <w:t>5.24%</w:t>
      </w:r>
      <w:r>
        <w:rPr>
          <w:rFonts w:hint="eastAsia"/>
        </w:rPr>
        <w:t>。实验教学学时为1</w:t>
      </w:r>
      <w:r>
        <w:t>434</w:t>
      </w:r>
      <w:r>
        <w:rPr>
          <w:rFonts w:hint="eastAsia"/>
        </w:rPr>
        <w:t>，占比4</w:t>
      </w:r>
      <w:r>
        <w:t>1.21%</w:t>
      </w:r>
      <w:r>
        <w:rPr>
          <w:rFonts w:hint="eastAsia"/>
        </w:rPr>
        <w:t>。</w:t>
      </w:r>
    </w:p>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bookmarkStart w:id="18" w:name="OLE_LINK10"/>
            <w:r>
              <w:rPr>
                <w:rFonts w:hint="eastAsia"/>
                <w:sz w:val="21"/>
                <w:szCs w:val="22"/>
              </w:rPr>
              <w:t>理论教学</w:t>
            </w:r>
            <w:bookmarkEnd w:id="18"/>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2046</w:t>
            </w:r>
            <w:bookmarkStart w:id="19" w:name="OLE_LINK8"/>
            <w:bookmarkEnd w:id="1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58.79</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118.88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75.24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1434</w:t>
            </w:r>
            <w:bookmarkStart w:id="20" w:name="OLE_LINK9"/>
            <w:bookmarkEnd w:id="2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41.21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7.12</w:t>
            </w:r>
            <w:bookmarkStart w:id="21" w:name="OLE_LINK11"/>
            <w:bookmarkEnd w:id="21"/>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3480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158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p>
      <w:pPr>
        <w:spacing w:line="360" w:lineRule="auto"/>
        <w:ind w:firstLine="480" w:firstLineChars="200"/>
      </w:pPr>
      <w:r>
        <w:rPr>
          <w:rFonts w:hint="eastAsia"/>
        </w:rPr>
        <w:t>本专业课程实施情况中，专业必修课学时为</w:t>
      </w:r>
      <w:r>
        <w:t>5136</w:t>
      </w:r>
      <w:r>
        <w:rPr>
          <w:rFonts w:hint="eastAsia"/>
        </w:rPr>
        <w:t>，占总开课学时比例6</w:t>
      </w:r>
      <w:r>
        <w:t>7.72%</w:t>
      </w:r>
      <w:r>
        <w:rPr>
          <w:rFonts w:hint="eastAsia"/>
        </w:rPr>
        <w:t>，学分</w:t>
      </w:r>
      <w:r>
        <w:t>321</w:t>
      </w:r>
      <w:r>
        <w:rPr>
          <w:rFonts w:hint="eastAsia"/>
        </w:rPr>
        <w:t>，占总开课学分比例6</w:t>
      </w:r>
      <w:r>
        <w:t>7.72%</w:t>
      </w:r>
      <w:r>
        <w:rPr>
          <w:rFonts w:hint="eastAsia"/>
        </w:rPr>
        <w:t>。专业选修课学时为2</w:t>
      </w:r>
      <w:r>
        <w:t>448</w:t>
      </w:r>
      <w:r>
        <w:rPr>
          <w:rFonts w:hint="eastAsia"/>
        </w:rPr>
        <w:t>，占总开课学时比例3</w:t>
      </w:r>
      <w:r>
        <w:t>2.28%</w:t>
      </w:r>
      <w:r>
        <w:rPr>
          <w:rFonts w:hint="eastAsia"/>
        </w:rPr>
        <w:t>，学分数量1</w:t>
      </w:r>
      <w:r>
        <w:t>53</w:t>
      </w:r>
      <w:r>
        <w:rPr>
          <w:rFonts w:hint="eastAsia"/>
        </w:rPr>
        <w:t>，占总开课学分比例3</w:t>
      </w:r>
      <w:r>
        <w:t>2.28%</w:t>
      </w:r>
      <w:r>
        <w:rPr>
          <w:rFonts w:hint="eastAsia"/>
        </w:rPr>
        <w:t>。</w:t>
      </w:r>
    </w:p>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bookmarkStart w:id="23" w:name="OLE_LINK13"/>
            <w:r>
              <w:rPr>
                <w:rFonts w:hint="eastAsia"/>
                <w:sz w:val="21"/>
                <w:szCs w:val="22"/>
              </w:rPr>
              <w:t>专业必修课</w:t>
            </w:r>
            <w:bookmarkEnd w:id="23"/>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5136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67.72</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321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67.72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2448</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32.28</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153</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32.28</w:t>
            </w:r>
          </w:p>
        </w:tc>
      </w:tr>
    </w:tbl>
    <w:p/>
    <w:p>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4" w:name="_Toc154735770"/>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p>
      <w:pPr>
        <w:spacing w:line="360" w:lineRule="auto"/>
        <w:ind w:firstLine="480" w:firstLineChars="200"/>
      </w:pPr>
      <w:r>
        <w:rPr>
          <w:rFonts w:hint="eastAsia"/>
        </w:rPr>
        <w:t>本专业开设</w:t>
      </w:r>
      <w:r>
        <w:t>47</w:t>
      </w:r>
      <w:r>
        <w:rPr>
          <w:rFonts w:hint="eastAsia"/>
        </w:rPr>
        <w:t>门课，课程总门次</w:t>
      </w:r>
      <w:r>
        <w:t>207</w:t>
      </w:r>
      <w:r>
        <w:rPr>
          <w:rFonts w:hint="eastAsia"/>
        </w:rPr>
        <w:t>门，开设全外语课程门次数</w:t>
      </w:r>
      <w:r>
        <w:t>0</w:t>
      </w:r>
      <w:r>
        <w:rPr>
          <w:rFonts w:hint="eastAsia"/>
        </w:rPr>
        <w:t>门。</w:t>
      </w:r>
    </w:p>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center"/>
            </w:pPr>
            <w:r>
              <w:rPr>
                <w:rFonts w:ascii="Times New Roman" w:hAnsi="Noto Sans Mono CJK JP Regular" w:cs="Noto Sans Mono CJK JP Regular"/>
                <w:sz w:val="20"/>
                <w:szCs w:val="22"/>
              </w:rPr>
              <w:t>0</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25" w:name="_Toc154735771"/>
      <w:r>
        <w:rPr>
          <w:rFonts w:ascii="宋体" w:hAnsi="宋体" w:eastAsia="宋体"/>
          <w:b w:val="0"/>
          <w:bCs w:val="0"/>
          <w:sz w:val="24"/>
          <w:szCs w:val="24"/>
        </w:rPr>
        <w:t>3.4专业课课堂规模</w:t>
      </w:r>
      <w:bookmarkEnd w:id="25"/>
    </w:p>
    <w:p>
      <w:pPr>
        <w:widowControl w:val="0"/>
        <w:spacing w:line="360" w:lineRule="auto"/>
        <w:ind w:firstLine="480" w:firstLineChars="200"/>
      </w:pPr>
      <w:r>
        <w:rPr>
          <w:rFonts w:hint="eastAsia"/>
        </w:rPr>
        <w:t>专业课平均规模，</w:t>
      </w:r>
      <w:r>
        <w:t>30</w:t>
      </w:r>
      <w:r>
        <w:rPr>
          <w:rFonts w:hint="eastAsia"/>
        </w:rPr>
        <w:t>人及以下占比5</w:t>
      </w:r>
      <w:r>
        <w:t>.31%</w:t>
      </w:r>
      <w:r>
        <w:rPr>
          <w:rFonts w:hint="eastAsia"/>
        </w:rPr>
        <w:t>，3</w:t>
      </w:r>
      <w:r>
        <w:t>1-60</w:t>
      </w:r>
      <w:r>
        <w:rPr>
          <w:rFonts w:hint="eastAsia"/>
        </w:rPr>
        <w:t>人占比</w:t>
      </w:r>
      <w:r>
        <w:t>28.5%</w:t>
      </w:r>
      <w:r>
        <w:rPr>
          <w:rFonts w:hint="eastAsia"/>
        </w:rPr>
        <w:t>，6</w:t>
      </w:r>
      <w:r>
        <w:t>1-90</w:t>
      </w:r>
      <w:r>
        <w:rPr>
          <w:rFonts w:hint="eastAsia"/>
        </w:rPr>
        <w:t>人占比3</w:t>
      </w:r>
      <w:r>
        <w:t>5.27%</w:t>
      </w:r>
      <w:r>
        <w:rPr>
          <w:rFonts w:hint="eastAsia"/>
        </w:rPr>
        <w:t>，9</w:t>
      </w:r>
      <w:r>
        <w:t>0</w:t>
      </w:r>
      <w:r>
        <w:rPr>
          <w:rFonts w:hint="eastAsia"/>
        </w:rPr>
        <w:t>人以上占比</w:t>
      </w:r>
      <w:r>
        <w:t>30.92%</w:t>
      </w:r>
      <w:r>
        <w:rPr>
          <w:rFonts w:hint="eastAsia"/>
        </w:rPr>
        <w:t>。</w:t>
      </w:r>
    </w:p>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p>
        </w:tc>
        <w:tc>
          <w:tcPr>
            <w:tcW w:w="802"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数量</w:t>
            </w:r>
          </w:p>
        </w:tc>
        <w:tc>
          <w:tcPr>
            <w:tcW w:w="802" w:type="pct"/>
            <w:vAlign w:val="center"/>
          </w:tcPr>
          <w:p>
            <w:pPr>
              <w:jc w:val="center"/>
              <w:rPr>
                <w:sz w:val="21"/>
                <w:szCs w:val="21"/>
              </w:rPr>
            </w:pPr>
            <w:r>
              <w:rPr>
                <w:sz w:val="21"/>
                <w:szCs w:val="21"/>
              </w:rPr>
              <w:t>77.07</w:t>
            </w:r>
          </w:p>
        </w:tc>
        <w:tc>
          <w:tcPr>
            <w:tcW w:w="847" w:type="pct"/>
            <w:vAlign w:val="center"/>
          </w:tcPr>
          <w:p>
            <w:pPr>
              <w:jc w:val="center"/>
              <w:rPr>
                <w:sz w:val="21"/>
                <w:szCs w:val="21"/>
              </w:rPr>
            </w:pPr>
            <w:r>
              <w:rPr>
                <w:sz w:val="21"/>
                <w:szCs w:val="21"/>
              </w:rPr>
              <w:t>11</w:t>
            </w:r>
            <w:bookmarkStart w:id="26" w:name="OLE_LINK14"/>
            <w:bookmarkEnd w:id="26"/>
          </w:p>
        </w:tc>
        <w:tc>
          <w:tcPr>
            <w:tcW w:w="982" w:type="pct"/>
            <w:vAlign w:val="center"/>
          </w:tcPr>
          <w:p>
            <w:pPr>
              <w:jc w:val="center"/>
              <w:rPr>
                <w:sz w:val="21"/>
                <w:szCs w:val="21"/>
              </w:rPr>
            </w:pPr>
            <w:r>
              <w:rPr>
                <w:sz w:val="21"/>
                <w:szCs w:val="21"/>
              </w:rPr>
              <w:t>59</w:t>
            </w:r>
            <w:bookmarkStart w:id="27" w:name="OLE_LINK15"/>
            <w:bookmarkEnd w:id="27"/>
          </w:p>
        </w:tc>
        <w:tc>
          <w:tcPr>
            <w:tcW w:w="982" w:type="pct"/>
            <w:vAlign w:val="center"/>
          </w:tcPr>
          <w:p>
            <w:pPr>
              <w:jc w:val="center"/>
              <w:rPr>
                <w:sz w:val="21"/>
                <w:szCs w:val="21"/>
              </w:rPr>
            </w:pPr>
            <w:r>
              <w:rPr>
                <w:sz w:val="21"/>
                <w:szCs w:val="21"/>
              </w:rPr>
              <w:t>73</w:t>
            </w:r>
          </w:p>
        </w:tc>
        <w:tc>
          <w:tcPr>
            <w:tcW w:w="847" w:type="pct"/>
            <w:vAlign w:val="center"/>
          </w:tcPr>
          <w:p>
            <w:pPr>
              <w:jc w:val="center"/>
              <w:rPr>
                <w:sz w:val="21"/>
                <w:szCs w:val="21"/>
              </w:rPr>
            </w:pPr>
            <w:r>
              <w:rPr>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比例（%）</w:t>
            </w:r>
          </w:p>
        </w:tc>
        <w:tc>
          <w:tcPr>
            <w:tcW w:w="802"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5.31</w:t>
            </w:r>
          </w:p>
        </w:tc>
        <w:tc>
          <w:tcPr>
            <w:tcW w:w="982" w:type="pct"/>
            <w:vAlign w:val="center"/>
          </w:tcPr>
          <w:p>
            <w:pPr>
              <w:jc w:val="center"/>
              <w:rPr>
                <w:sz w:val="21"/>
                <w:szCs w:val="21"/>
              </w:rPr>
            </w:pPr>
            <w:r>
              <w:rPr>
                <w:sz w:val="21"/>
                <w:szCs w:val="21"/>
              </w:rPr>
              <w:t>28.5</w:t>
            </w:r>
            <w:bookmarkStart w:id="28" w:name="OLE_LINK16"/>
            <w:bookmarkEnd w:id="28"/>
          </w:p>
        </w:tc>
        <w:tc>
          <w:tcPr>
            <w:tcW w:w="982" w:type="pct"/>
            <w:vAlign w:val="center"/>
          </w:tcPr>
          <w:p>
            <w:pPr>
              <w:jc w:val="center"/>
              <w:rPr>
                <w:sz w:val="21"/>
                <w:szCs w:val="21"/>
              </w:rPr>
            </w:pPr>
            <w:r>
              <w:rPr>
                <w:sz w:val="21"/>
                <w:szCs w:val="21"/>
              </w:rPr>
              <w:t>35.27</w:t>
            </w:r>
          </w:p>
        </w:tc>
        <w:tc>
          <w:tcPr>
            <w:tcW w:w="847" w:type="pct"/>
            <w:vAlign w:val="center"/>
          </w:tcPr>
          <w:p>
            <w:pPr>
              <w:jc w:val="center"/>
              <w:rPr>
                <w:sz w:val="21"/>
                <w:szCs w:val="21"/>
              </w:rPr>
            </w:pPr>
            <w:r>
              <w:rPr>
                <w:sz w:val="21"/>
                <w:szCs w:val="21"/>
              </w:rPr>
              <w:t>30.92</w:t>
            </w:r>
            <w:bookmarkStart w:id="29" w:name="OLE_LINK17"/>
            <w:bookmarkEnd w:id="29"/>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0" w:name="_Toc154735772"/>
      <w:r>
        <w:rPr>
          <w:rFonts w:ascii="宋体" w:hAnsi="宋体" w:eastAsia="宋体"/>
          <w:b w:val="0"/>
          <w:bCs w:val="0"/>
          <w:sz w:val="24"/>
          <w:szCs w:val="24"/>
        </w:rPr>
        <w:t>3.5专业的核心课程情况</w:t>
      </w:r>
      <w:bookmarkEnd w:id="30"/>
    </w:p>
    <w:p>
      <w:pPr>
        <w:spacing w:line="360" w:lineRule="auto"/>
        <w:ind w:firstLine="480" w:firstLineChars="200"/>
      </w:pPr>
      <w:r>
        <w:rPr>
          <w:rFonts w:hint="eastAsia"/>
        </w:rPr>
        <w:t>专业的核心课程有：微观经济学，宏观经济学，计量经济学，国际经济学，国际贸易学，世界经济，会计学，金融学，国际服务贸易，国际贸易实务，国际商法，国际结算，政治经济学等。</w:t>
      </w:r>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pPr>
            <w:r>
              <w:rPr>
                <w:rFonts w:hint="eastAsia"/>
                <w:sz w:val="21"/>
                <w:szCs w:val="22"/>
              </w:rPr>
              <w:t>课程名称</w:t>
            </w:r>
          </w:p>
        </w:tc>
        <w:tc>
          <w:tcPr>
            <w:tcW w:w="1185"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185" w:type="dxa"/>
            <w:vAlign w:val="center"/>
          </w:tcPr>
          <w:p>
            <w:pPr>
              <w:jc w:val="center"/>
            </w:pPr>
            <w:r>
              <w:rPr>
                <w:rFonts w:hint="eastAsia"/>
                <w:sz w:val="21"/>
                <w:szCs w:val="22"/>
              </w:rPr>
              <w:t>课程类别</w:t>
            </w:r>
          </w:p>
        </w:tc>
        <w:tc>
          <w:tcPr>
            <w:tcW w:w="118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szCs w:val="20"/>
              </w:rPr>
              <w:t>国际贸易学</w:t>
            </w:r>
          </w:p>
        </w:tc>
        <w:tc>
          <w:tcPr>
            <w:tcW w:w="1185" w:type="dxa"/>
            <w:vAlign w:val="center"/>
          </w:tcPr>
          <w:p>
            <w:pPr>
              <w:jc w:val="center"/>
              <w:rPr>
                <w:sz w:val="20"/>
                <w:szCs w:val="20"/>
              </w:rPr>
            </w:pPr>
            <w:r>
              <w:rPr>
                <w:sz w:val="20"/>
                <w:szCs w:val="20"/>
              </w:rPr>
              <w:t>030009</w:t>
            </w:r>
          </w:p>
        </w:tc>
        <w:tc>
          <w:tcPr>
            <w:tcW w:w="1185" w:type="dxa"/>
            <w:vAlign w:val="center"/>
          </w:tcPr>
          <w:p>
            <w:pPr>
              <w:jc w:val="center"/>
              <w:rPr>
                <w:sz w:val="20"/>
                <w:szCs w:val="20"/>
              </w:rPr>
            </w:pPr>
            <w:r>
              <w:rPr>
                <w:sz w:val="20"/>
                <w:szCs w:val="20"/>
              </w:rPr>
              <w:t>理论课</w:t>
            </w:r>
          </w:p>
        </w:tc>
        <w:tc>
          <w:tcPr>
            <w:tcW w:w="1185" w:type="dxa"/>
            <w:vAlign w:val="center"/>
          </w:tcPr>
          <w:p>
            <w:pPr>
              <w:jc w:val="center"/>
              <w:rPr>
                <w:sz w:val="20"/>
                <w:szCs w:val="20"/>
              </w:rPr>
            </w:pPr>
            <w:r>
              <w:rPr>
                <w:sz w:val="20"/>
                <w:szCs w:val="20"/>
              </w:rPr>
              <w:t>专业选修课</w:t>
            </w:r>
          </w:p>
        </w:tc>
        <w:tc>
          <w:tcPr>
            <w:tcW w:w="118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国际贸易实务</w:t>
            </w:r>
          </w:p>
        </w:tc>
        <w:tc>
          <w:tcPr>
            <w:tcW w:w="1185" w:type="dxa"/>
            <w:vAlign w:val="center"/>
          </w:tcPr>
          <w:p>
            <w:pPr>
              <w:jc w:val="center"/>
              <w:rPr>
                <w:sz w:val="20"/>
                <w:szCs w:val="20"/>
              </w:rPr>
            </w:pPr>
            <w:r>
              <w:rPr>
                <w:sz w:val="20"/>
              </w:rPr>
              <w:t>030015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世界经济</w:t>
            </w:r>
          </w:p>
        </w:tc>
        <w:tc>
          <w:tcPr>
            <w:tcW w:w="1185" w:type="dxa"/>
            <w:vAlign w:val="center"/>
          </w:tcPr>
          <w:p>
            <w:pPr>
              <w:jc w:val="center"/>
              <w:rPr>
                <w:sz w:val="20"/>
                <w:szCs w:val="20"/>
              </w:rPr>
            </w:pPr>
            <w:r>
              <w:rPr>
                <w:sz w:val="20"/>
              </w:rPr>
              <w:t>030040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统计学</w:t>
            </w:r>
          </w:p>
        </w:tc>
        <w:tc>
          <w:tcPr>
            <w:tcW w:w="1185" w:type="dxa"/>
            <w:vAlign w:val="center"/>
          </w:tcPr>
          <w:p>
            <w:pPr>
              <w:jc w:val="center"/>
              <w:rPr>
                <w:sz w:val="20"/>
                <w:szCs w:val="20"/>
              </w:rPr>
            </w:pPr>
            <w:r>
              <w:rPr>
                <w:sz w:val="20"/>
              </w:rPr>
              <w:t>030205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微观经济学</w:t>
            </w:r>
          </w:p>
        </w:tc>
        <w:tc>
          <w:tcPr>
            <w:tcW w:w="1185" w:type="dxa"/>
            <w:vAlign w:val="center"/>
          </w:tcPr>
          <w:p>
            <w:pPr>
              <w:jc w:val="center"/>
              <w:rPr>
                <w:sz w:val="20"/>
                <w:szCs w:val="20"/>
              </w:rPr>
            </w:pPr>
            <w:r>
              <w:rPr>
                <w:sz w:val="20"/>
              </w:rPr>
              <w:t>030207</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宏观经济学</w:t>
            </w:r>
          </w:p>
        </w:tc>
        <w:tc>
          <w:tcPr>
            <w:tcW w:w="1185" w:type="dxa"/>
            <w:vAlign w:val="center"/>
          </w:tcPr>
          <w:p>
            <w:pPr>
              <w:jc w:val="center"/>
              <w:rPr>
                <w:sz w:val="20"/>
                <w:szCs w:val="20"/>
              </w:rPr>
            </w:pPr>
            <w:r>
              <w:rPr>
                <w:sz w:val="20"/>
              </w:rPr>
              <w:t>030209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计量经济学</w:t>
            </w:r>
          </w:p>
        </w:tc>
        <w:tc>
          <w:tcPr>
            <w:tcW w:w="1185" w:type="dxa"/>
            <w:vAlign w:val="center"/>
          </w:tcPr>
          <w:p>
            <w:pPr>
              <w:jc w:val="center"/>
              <w:rPr>
                <w:sz w:val="20"/>
                <w:szCs w:val="20"/>
              </w:rPr>
            </w:pPr>
            <w:r>
              <w:rPr>
                <w:sz w:val="20"/>
              </w:rPr>
              <w:t>030230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会计学</w:t>
            </w:r>
          </w:p>
        </w:tc>
        <w:tc>
          <w:tcPr>
            <w:tcW w:w="1185" w:type="dxa"/>
            <w:vAlign w:val="center"/>
          </w:tcPr>
          <w:p>
            <w:pPr>
              <w:jc w:val="center"/>
              <w:rPr>
                <w:sz w:val="20"/>
                <w:szCs w:val="20"/>
              </w:rPr>
            </w:pPr>
            <w:r>
              <w:rPr>
                <w:sz w:val="20"/>
              </w:rPr>
              <w:t>030269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金融学</w:t>
            </w:r>
          </w:p>
        </w:tc>
        <w:tc>
          <w:tcPr>
            <w:tcW w:w="1185" w:type="dxa"/>
            <w:vAlign w:val="center"/>
          </w:tcPr>
          <w:p>
            <w:pPr>
              <w:jc w:val="center"/>
              <w:rPr>
                <w:sz w:val="20"/>
                <w:szCs w:val="20"/>
              </w:rPr>
            </w:pPr>
            <w:r>
              <w:rPr>
                <w:sz w:val="20"/>
              </w:rPr>
              <w:t>030358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国际经济学</w:t>
            </w:r>
          </w:p>
        </w:tc>
        <w:tc>
          <w:tcPr>
            <w:tcW w:w="1185" w:type="dxa"/>
            <w:vAlign w:val="center"/>
          </w:tcPr>
          <w:p>
            <w:pPr>
              <w:jc w:val="center"/>
              <w:rPr>
                <w:sz w:val="20"/>
                <w:szCs w:val="20"/>
              </w:rPr>
            </w:pPr>
            <w:r>
              <w:rPr>
                <w:sz w:val="20"/>
              </w:rPr>
              <w:t>030439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国际服务贸易</w:t>
            </w:r>
          </w:p>
        </w:tc>
        <w:tc>
          <w:tcPr>
            <w:tcW w:w="1185" w:type="dxa"/>
            <w:vAlign w:val="center"/>
          </w:tcPr>
          <w:p>
            <w:pPr>
              <w:jc w:val="center"/>
              <w:rPr>
                <w:sz w:val="20"/>
                <w:szCs w:val="20"/>
              </w:rPr>
            </w:pPr>
            <w:r>
              <w:rPr>
                <w:sz w:val="20"/>
              </w:rPr>
              <w:t>030470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财政学</w:t>
            </w:r>
          </w:p>
        </w:tc>
        <w:tc>
          <w:tcPr>
            <w:tcW w:w="1185" w:type="dxa"/>
            <w:vAlign w:val="center"/>
          </w:tcPr>
          <w:p>
            <w:pPr>
              <w:jc w:val="center"/>
              <w:rPr>
                <w:sz w:val="20"/>
                <w:szCs w:val="20"/>
              </w:rPr>
            </w:pPr>
            <w:r>
              <w:rPr>
                <w:sz w:val="20"/>
              </w:rPr>
              <w:t>033293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国际结算</w:t>
            </w:r>
          </w:p>
        </w:tc>
        <w:tc>
          <w:tcPr>
            <w:tcW w:w="1185" w:type="dxa"/>
            <w:vAlign w:val="center"/>
          </w:tcPr>
          <w:p>
            <w:pPr>
              <w:jc w:val="center"/>
              <w:rPr>
                <w:sz w:val="20"/>
                <w:szCs w:val="20"/>
              </w:rPr>
            </w:pPr>
            <w:r>
              <w:rPr>
                <w:sz w:val="20"/>
              </w:rPr>
              <w:t>033422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国际商法</w:t>
            </w:r>
          </w:p>
        </w:tc>
        <w:tc>
          <w:tcPr>
            <w:tcW w:w="1185" w:type="dxa"/>
            <w:vAlign w:val="center"/>
          </w:tcPr>
          <w:p>
            <w:pPr>
              <w:jc w:val="center"/>
              <w:rPr>
                <w:sz w:val="20"/>
                <w:szCs w:val="20"/>
              </w:rPr>
            </w:pPr>
            <w:r>
              <w:rPr>
                <w:sz w:val="20"/>
              </w:rPr>
              <w:t>033424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政治经济学</w:t>
            </w:r>
          </w:p>
        </w:tc>
        <w:tc>
          <w:tcPr>
            <w:tcW w:w="1185" w:type="dxa"/>
            <w:vAlign w:val="center"/>
          </w:tcPr>
          <w:p>
            <w:pPr>
              <w:jc w:val="center"/>
              <w:rPr>
                <w:sz w:val="20"/>
                <w:szCs w:val="20"/>
              </w:rPr>
            </w:pPr>
            <w:r>
              <w:rPr>
                <w:sz w:val="20"/>
              </w:rPr>
              <w:t>220206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79</w:t>
            </w:r>
          </w:p>
        </w:tc>
      </w:tr>
    </w:tbl>
    <w:p/>
    <w:p>
      <w:r>
        <w:rPr>
          <w:rFonts w:hint="eastAsia"/>
        </w:rPr>
        <w:t>※以上数据来源：表</w:t>
      </w:r>
      <w:r>
        <w:t xml:space="preserve"> 5-1-1开课情况、表 5-1-2 专业课教学实施情况。</w:t>
      </w:r>
    </w:p>
    <w:p/>
    <w:p>
      <w:pPr>
        <w:pStyle w:val="4"/>
        <w:rPr>
          <w:rFonts w:ascii="宋体" w:hAnsi="宋体" w:eastAsia="宋体"/>
          <w:b w:val="0"/>
          <w:bCs w:val="0"/>
          <w:sz w:val="24"/>
          <w:szCs w:val="24"/>
        </w:rPr>
      </w:pPr>
      <w:bookmarkStart w:id="31" w:name="_Toc154735773"/>
      <w:r>
        <w:rPr>
          <w:rFonts w:ascii="宋体" w:hAnsi="宋体" w:eastAsia="宋体"/>
          <w:b w:val="0"/>
          <w:bCs w:val="0"/>
          <w:sz w:val="24"/>
          <w:szCs w:val="24"/>
        </w:rPr>
        <w:t>3.6实验教学情况</w:t>
      </w:r>
      <w:bookmarkEnd w:id="31"/>
    </w:p>
    <w:p>
      <w:pPr>
        <w:spacing w:line="360" w:lineRule="auto"/>
        <w:ind w:firstLine="480" w:firstLineChars="200"/>
      </w:pPr>
      <w:r>
        <w:rPr>
          <w:rFonts w:hint="eastAsia"/>
        </w:rPr>
        <w:t>实验教学学分为</w:t>
      </w:r>
      <w:r>
        <w:t>7.12</w:t>
      </w:r>
      <w:r>
        <w:rPr>
          <w:rFonts w:hint="eastAsia"/>
        </w:rPr>
        <w:t>，学年内开设实验课门数2门，实验课程平均课堂规模3</w:t>
      </w:r>
      <w:r>
        <w:t>6</w:t>
      </w:r>
      <w:r>
        <w:rPr>
          <w:rFonts w:hint="eastAsia"/>
        </w:rPr>
        <w:t>。</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7.12</w:t>
            </w:r>
            <w:bookmarkStart w:id="32" w:name="OLE_LINK1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764091</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
      <w:pPr>
        <w:pStyle w:val="4"/>
        <w:rPr>
          <w:rFonts w:ascii="宋体" w:hAnsi="宋体" w:eastAsia="宋体"/>
          <w:b w:val="0"/>
          <w:bCs w:val="0"/>
          <w:sz w:val="24"/>
          <w:szCs w:val="24"/>
        </w:rPr>
      </w:pPr>
      <w:bookmarkStart w:id="33" w:name="_Toc154735774"/>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shd w:val="clear" w:color="auto" w:fill="FFFFFF"/>
        <w:spacing w:line="360" w:lineRule="auto"/>
        <w:ind w:firstLine="357"/>
      </w:pPr>
      <w:r>
        <w:rPr>
          <w:rFonts w:hint="eastAsia"/>
        </w:rPr>
        <w:t>1、实验室和实践课程</w:t>
      </w:r>
    </w:p>
    <w:p>
      <w:pPr>
        <w:shd w:val="clear" w:color="auto" w:fill="FFFFFF"/>
        <w:spacing w:line="360" w:lineRule="auto"/>
        <w:ind w:firstLine="357"/>
        <w:rPr>
          <w:rFonts w:ascii="黑体" w:hAnsi="黑体" w:eastAsia="黑体" w:cs="黑体"/>
          <w:b/>
          <w:bCs/>
          <w:color w:val="333333"/>
        </w:rPr>
      </w:pPr>
      <w:r>
        <w:rPr>
          <w:rFonts w:hint="eastAsia"/>
        </w:rPr>
        <w:t>本专业有专业实验室共</w:t>
      </w:r>
      <w:r>
        <w:t>计</w:t>
      </w:r>
      <w:r>
        <w:rPr>
          <w:rFonts w:hint="eastAsia"/>
        </w:rPr>
        <w:t>1个，</w:t>
      </w:r>
      <w:r>
        <w:t>总面积</w:t>
      </w:r>
      <w:r>
        <w:rPr>
          <w:rFonts w:hint="eastAsia"/>
        </w:rPr>
        <w:t>（含</w:t>
      </w:r>
      <w:r>
        <w:t>共用</w:t>
      </w:r>
      <w:r>
        <w:rPr>
          <w:rFonts w:hint="eastAsia"/>
        </w:rPr>
        <w:t>）2</w:t>
      </w:r>
      <w:r>
        <w:t>43.24</w:t>
      </w:r>
      <w:r>
        <w:rPr>
          <w:rFonts w:hint="eastAsia"/>
        </w:rPr>
        <w:t>平方</w:t>
      </w:r>
      <w:r>
        <w:t>米</w:t>
      </w:r>
      <w:r>
        <w:rPr>
          <w:rFonts w:hint="eastAsia"/>
        </w:rPr>
        <w:t>。专业实验室名称为国际贸易综合实验室，内容涵盖：单证业务实习、外贸业务综合实习和跨境电商业务实习等。目前，本专业按教学方案和教学计划实验开出率为100%。综合性、设计性实验目前开出率达到100%。</w:t>
      </w:r>
    </w:p>
    <w:p>
      <w:pPr>
        <w:shd w:val="clear" w:color="auto" w:fill="FFFFFF"/>
        <w:spacing w:line="360" w:lineRule="auto"/>
        <w:ind w:firstLine="357"/>
      </w:pPr>
      <w:r>
        <w:rPr>
          <w:rFonts w:hint="eastAsia"/>
        </w:rPr>
        <w:t>国际经济与贸易专业实践教学分成4个模块：实习、合作教育、毕业设计（论文）和军训。其中实习部分开设的实验课程，包括以下5门课程：（1）工程基础训练E；（2）单证业务实习；（</w:t>
      </w:r>
      <w:r>
        <w:t>3</w:t>
      </w:r>
      <w:r>
        <w:rPr>
          <w:rFonts w:hint="eastAsia"/>
        </w:rPr>
        <w:t>）金融综合模拟实习；（</w:t>
      </w:r>
      <w:r>
        <w:t>4</w:t>
      </w:r>
      <w:r>
        <w:rPr>
          <w:rFonts w:hint="eastAsia"/>
        </w:rPr>
        <w:t>）外贸业务综合实习；（</w:t>
      </w:r>
      <w:r>
        <w:t>5</w:t>
      </w:r>
      <w:r>
        <w:rPr>
          <w:rFonts w:hint="eastAsia"/>
        </w:rPr>
        <w:t>）跨境电商业务实习。</w:t>
      </w:r>
    </w:p>
    <w:p>
      <w:pPr>
        <w:shd w:val="clear" w:color="auto" w:fill="FFFFFF"/>
        <w:spacing w:line="360" w:lineRule="auto"/>
        <w:ind w:firstLine="357"/>
      </w:pPr>
      <w:r>
        <w:rPr>
          <w:rFonts w:hint="eastAsia"/>
        </w:rPr>
        <w:t>实验教学学校层面有严格的管理体系，实验教学须提交实验大纲、实验指导书，经过教务处审核后才能开始实验课。实验结束须百分之百归档实验资料，归档材料要求五件套：大纲、指导书、成绩单、实验报告、实习教学小结。专业教师根据人才培养的要求，对实习（实训）教学大纲进行修改和更新。</w:t>
      </w:r>
    </w:p>
    <w:p>
      <w:pPr>
        <w:shd w:val="clear" w:color="auto" w:fill="FFFFFF"/>
        <w:spacing w:after="156" w:afterLines="50" w:line="360" w:lineRule="auto"/>
        <w:ind w:firstLine="480" w:firstLineChars="200"/>
        <w:rPr>
          <w:color w:val="333333"/>
        </w:rPr>
      </w:pPr>
      <w:r>
        <w:rPr>
          <w:rFonts w:hint="eastAsia"/>
          <w:color w:val="333333"/>
        </w:rPr>
        <w:t>2、本科毕业论文</w:t>
      </w:r>
    </w:p>
    <w:p>
      <w:pPr>
        <w:shd w:val="clear" w:color="auto" w:fill="FFFFFF"/>
        <w:spacing w:after="156" w:afterLines="50" w:line="360" w:lineRule="auto"/>
        <w:ind w:firstLine="480" w:firstLineChars="200"/>
      </w:pPr>
      <w:r>
        <w:rPr>
          <w:rFonts w:hint="eastAsia"/>
          <w:color w:val="333333"/>
        </w:rPr>
        <w:t>学生毕业论文方面，</w:t>
      </w:r>
      <w:r>
        <w:rPr>
          <w:rFonts w:hint="eastAsia"/>
        </w:rPr>
        <w:t>本专业严格执行学院的《管理学院毕业设计（论文）工作暂行条例》、《管理学院毕业设计（论文）实施细则》、《管理学院毕业设计（论文）立题审核表、任务书、开题报告（文献综述）、毕业设计（论文）说明书、评定书规范条例》等规章制度的教学管理文件，形成规范的毕业设计（论文）的质量标准和管理准则。毕业论文的工作的主要情况总结如下：</w:t>
      </w:r>
    </w:p>
    <w:p>
      <w:pPr>
        <w:spacing w:line="360" w:lineRule="auto"/>
        <w:ind w:firstLine="482" w:firstLineChars="200"/>
      </w:pPr>
      <w:r>
        <w:rPr>
          <w:b/>
        </w:rPr>
        <w:t>毕业论文指导</w:t>
      </w:r>
      <w:r>
        <w:rPr>
          <w:rFonts w:hint="eastAsia"/>
          <w:b/>
        </w:rPr>
        <w:t>：</w:t>
      </w:r>
      <w:r>
        <w:rPr>
          <w:rFonts w:hint="eastAsia"/>
        </w:rPr>
        <w:t>近三年，国际经济与贸易专业教师指导毕业论文学生人数为9人左右（含与校外导师合作指导的学生），大多数教师每届单独指导学生数为6人左右。本专业</w:t>
      </w:r>
      <w:r>
        <w:t>要求指导教师每周至少</w:t>
      </w:r>
      <w:r>
        <w:rPr>
          <w:rFonts w:hint="eastAsia"/>
        </w:rPr>
        <w:t>与</w:t>
      </w:r>
      <w:r>
        <w:t>学生见面交流</w:t>
      </w:r>
      <w:r>
        <w:rPr>
          <w:rFonts w:hint="eastAsia"/>
        </w:rPr>
        <w:t>1</w:t>
      </w:r>
      <w:r>
        <w:t>次以上，并要求学生记录与教师交流的情况</w:t>
      </w:r>
      <w:r>
        <w:rPr>
          <w:rFonts w:hint="eastAsia"/>
        </w:rPr>
        <w:t>。</w:t>
      </w:r>
    </w:p>
    <w:p>
      <w:pPr>
        <w:spacing w:line="360" w:lineRule="auto"/>
        <w:ind w:firstLine="482" w:firstLineChars="200"/>
      </w:pPr>
      <w:r>
        <w:rPr>
          <w:rFonts w:hint="eastAsia"/>
          <w:b/>
        </w:rPr>
        <w:t>毕业论文选题：</w:t>
      </w:r>
      <w:r>
        <w:rPr>
          <w:rFonts w:hint="eastAsia"/>
        </w:rPr>
        <w:t>近三年来，本专业毕业论文选题100%来源于生产实际或社会热点问题研究项目，选题经过校院两级严格把关，合格率</w:t>
      </w:r>
      <w:r>
        <w:t>100%</w:t>
      </w:r>
      <w:r>
        <w:rPr>
          <w:rFonts w:hint="eastAsia"/>
        </w:rPr>
        <w:t>，</w:t>
      </w:r>
      <w:r>
        <w:t>体现综合训练要求，难度、工作量适当</w:t>
      </w:r>
      <w:r>
        <w:rPr>
          <w:rFonts w:hint="eastAsia"/>
        </w:rPr>
        <w:t>。</w:t>
      </w:r>
    </w:p>
    <w:p>
      <w:pPr>
        <w:shd w:val="clear" w:color="auto" w:fill="FFFFFF"/>
        <w:snapToGrid w:val="0"/>
        <w:spacing w:line="360" w:lineRule="auto"/>
        <w:ind w:firstLine="482" w:firstLineChars="200"/>
      </w:pPr>
      <w:r>
        <w:rPr>
          <w:rFonts w:hint="eastAsia"/>
          <w:b/>
        </w:rPr>
        <w:t>毕业论文管理工作：</w:t>
      </w:r>
      <w:r>
        <w:rPr>
          <w:rFonts w:hint="eastAsia"/>
        </w:rPr>
        <w:t>学校、学院两级单位管理负责制，从选题开始进行审核，论文指导过程中，学院和学校采取初期检查、中期检查和学院答辩预审后才能进入最终答辩程序，保持一定的淘汰率，答辩通过后整套论文资料全部归档。</w:t>
      </w:r>
    </w:p>
    <w:p>
      <w:pPr>
        <w:shd w:val="clear" w:color="auto" w:fill="FFFFFF"/>
        <w:snapToGrid w:val="0"/>
        <w:spacing w:line="360" w:lineRule="auto"/>
        <w:ind w:firstLine="480" w:firstLineChars="200"/>
      </w:pPr>
      <w:r>
        <w:rPr>
          <w:rFonts w:hint="eastAsia"/>
        </w:rPr>
        <w:t>本专业高度重视本科毕业论文的质量。为了进一步提升本科毕业论文质量，2</w:t>
      </w:r>
      <w:r>
        <w:t>023</w:t>
      </w:r>
      <w:r>
        <w:rPr>
          <w:rFonts w:hint="eastAsia"/>
        </w:rPr>
        <w:t>年，本专业提前启动毕业论文工作，狠抓本科毕业论文开题环节，留出更充裕的时间供师生讨论，极大地提升了毕业论文的选题及后续质量。</w:t>
      </w:r>
    </w:p>
    <w:p>
      <w:pPr>
        <w:pStyle w:val="4"/>
        <w:rPr>
          <w:rFonts w:ascii="宋体" w:hAnsi="宋体" w:eastAsia="宋体"/>
          <w:b w:val="0"/>
          <w:bCs w:val="0"/>
          <w:sz w:val="24"/>
          <w:szCs w:val="24"/>
        </w:rPr>
      </w:pPr>
      <w:bookmarkStart w:id="34" w:name="_Toc154735775"/>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spacing w:line="360" w:lineRule="auto"/>
        <w:ind w:firstLine="480" w:firstLineChars="200"/>
      </w:pPr>
      <w:r>
        <w:rPr>
          <w:rFonts w:hint="eastAsia"/>
        </w:rPr>
        <w:t>国际经济与贸易专业高度重视培养学生的创新创业能力，不仅要求学生具备扎实的专业理论知识体系，还要求学生具有较强的实践能力，突出专业实践能力在整个培养体系中的重要地位。</w:t>
      </w:r>
    </w:p>
    <w:p>
      <w:pPr>
        <w:spacing w:line="360" w:lineRule="auto"/>
        <w:ind w:firstLine="480" w:firstLineChars="200"/>
      </w:pPr>
      <w:r>
        <w:rPr>
          <w:rFonts w:hint="eastAsia"/>
        </w:rPr>
        <w:t>一、在充分落实学业导师制度的基础上，以实现“三全育人”——即“全员育人、全方位育人、全过程育人”为目标，构建了专业教育与就业指导并重，延伸育人时空领域，实现“分年级、有重点、分层次、分阶段”指导学生的培养模式。</w:t>
      </w:r>
    </w:p>
    <w:p>
      <w:pPr>
        <w:spacing w:line="360" w:lineRule="auto"/>
        <w:ind w:firstLine="480" w:firstLineChars="200"/>
      </w:pPr>
      <w:r>
        <w:rPr>
          <w:rFonts w:hint="eastAsia"/>
        </w:rPr>
        <w:t>二、积极鼓励学生参加创新创业类课程，包括创业概论与实训、创新创业思维与方法、商业模式设计、创业资源管理和创新管理，注重培养学生创新精神、创业意识和创新创业能力。通过实习实践的培养，学生在专业教师和创业导师的指导下组队参加不同层次的创新创业大赛并获奖，如</w:t>
      </w:r>
      <w:r>
        <w:t>“挑战杯”、“</w:t>
      </w:r>
      <w:r>
        <w:rPr>
          <w:rFonts w:hint="eastAsia"/>
        </w:rPr>
        <w:t>互联网+</w:t>
      </w:r>
      <w:r>
        <w:t>”</w:t>
      </w:r>
      <w:r>
        <w:rPr>
          <w:rFonts w:hint="eastAsia"/>
        </w:rPr>
        <w:t>等各类创新创业大赛，</w:t>
      </w:r>
      <w:r>
        <w:t>并对成绩优异的学生给予“创新学分”的奖励</w:t>
      </w:r>
      <w:r>
        <w:rPr>
          <w:rFonts w:hint="eastAsia"/>
        </w:rPr>
        <w:t>。</w:t>
      </w:r>
    </w:p>
    <w:p>
      <w:pPr>
        <w:spacing w:line="360" w:lineRule="auto"/>
        <w:ind w:firstLine="480" w:firstLineChars="200"/>
      </w:pPr>
      <w:r>
        <w:rPr>
          <w:rFonts w:hint="eastAsia"/>
        </w:rPr>
        <w:t>三、</w:t>
      </w:r>
      <w:r>
        <w:t>结合在校外的创新创业实践基地，加大学生的社会实践力度，从而更好地促进他们对于专业学科学习内容的理解，增强实践能力。</w:t>
      </w:r>
    </w:p>
    <w:p>
      <w:pPr>
        <w:pStyle w:val="4"/>
        <w:rPr>
          <w:rFonts w:ascii="宋体" w:hAnsi="宋体" w:eastAsia="宋体"/>
          <w:b w:val="0"/>
          <w:bCs w:val="0"/>
          <w:sz w:val="24"/>
          <w:szCs w:val="24"/>
        </w:rPr>
      </w:pPr>
      <w:bookmarkStart w:id="35" w:name="_Toc154735776"/>
      <w:r>
        <w:rPr>
          <w:rFonts w:ascii="宋体" w:hAnsi="宋体" w:eastAsia="宋体"/>
          <w:b w:val="0"/>
          <w:bCs w:val="0"/>
          <w:sz w:val="24"/>
          <w:szCs w:val="24"/>
        </w:rPr>
        <w:t>3.9学生毕业综合训练情况</w:t>
      </w:r>
      <w:bookmarkEnd w:id="35"/>
    </w:p>
    <w:p>
      <w:pPr>
        <w:widowControl w:val="0"/>
        <w:spacing w:line="360" w:lineRule="auto"/>
        <w:ind w:firstLine="480" w:firstLineChars="200"/>
      </w:pPr>
      <w:r>
        <w:rPr>
          <w:rFonts w:hint="eastAsia"/>
        </w:rPr>
        <w:t>大四学生整体实习情况良好。学生在外贸企业或企业的外贸部门的不同岗位学习锻炼，收获颇丰。通过实践的方式将所学知识内化，熟悉国际经贸规则与贸易实务流程，提高国际经济与贸易专业大学生的业务素质与动手能力，增强运用专业理论知识解决现实复杂问题的能力，坚持并强化教育与生产劳动相结合的人才培养方式，克服高等教育人才培养重理论轻实践的弊端，激发学生学习兴趣，同时加强了学习与工作的联系。</w:t>
      </w:r>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103</w:t>
            </w:r>
            <w:bookmarkStart w:id="36" w:name="OLE_LINK1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bookmarkStart w:id="37" w:name="OLE_LINK20"/>
            <w:r>
              <w:rPr>
                <w:rFonts w:hint="eastAsia"/>
                <w:sz w:val="22"/>
                <w:szCs w:val="22"/>
              </w:rPr>
              <w:t>指导教师数</w:t>
            </w:r>
            <w:bookmarkEnd w:id="37"/>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38" w:name="OLE_LINK21"/>
            <w:r>
              <w:rPr>
                <w:rFonts w:hint="eastAsia"/>
                <w:sz w:val="22"/>
                <w:szCs w:val="22"/>
              </w:rPr>
              <w:t>校外指导教师</w:t>
            </w:r>
            <w:bookmarkEnd w:id="38"/>
          </w:p>
        </w:tc>
        <w:tc>
          <w:tcPr>
            <w:tcW w:w="2347" w:type="dxa"/>
            <w:vAlign w:val="center"/>
          </w:tcPr>
          <w:p>
            <w:pPr>
              <w:jc w:val="cente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6.06</w:t>
            </w:r>
          </w:p>
        </w:tc>
      </w:tr>
    </w:tbl>
    <w:p/>
    <w:p>
      <w:r>
        <w:rPr>
          <w:rFonts w:hint="eastAsia"/>
        </w:rPr>
        <w:t>※以上数据来源：表</w:t>
      </w:r>
      <w:r>
        <w:t xml:space="preserve"> 5-2</w:t>
      </w:r>
      <w:r>
        <w:rPr>
          <w:rFonts w:hint="eastAsia"/>
        </w:rPr>
        <w:t>学生毕业综合训练情况</w:t>
      </w:r>
    </w:p>
    <w:p/>
    <w:p>
      <w:pPr>
        <w:pStyle w:val="4"/>
        <w:rPr>
          <w:rFonts w:ascii="宋体" w:hAnsi="宋体" w:eastAsia="宋体"/>
          <w:b w:val="0"/>
          <w:bCs w:val="0"/>
          <w:sz w:val="24"/>
          <w:szCs w:val="24"/>
        </w:rPr>
      </w:pPr>
      <w:bookmarkStart w:id="39" w:name="_Toc154735777"/>
      <w:r>
        <w:rPr>
          <w:rFonts w:ascii="宋体" w:hAnsi="宋体" w:eastAsia="宋体"/>
          <w:b w:val="0"/>
          <w:bCs w:val="0"/>
          <w:sz w:val="24"/>
          <w:szCs w:val="24"/>
        </w:rPr>
        <w:t>3.10</w:t>
      </w:r>
      <w:r>
        <w:rPr>
          <w:rFonts w:hint="eastAsia" w:ascii="宋体" w:hAnsi="宋体" w:eastAsia="宋体"/>
          <w:b w:val="0"/>
          <w:bCs w:val="0"/>
          <w:sz w:val="24"/>
          <w:szCs w:val="24"/>
        </w:rPr>
        <w:t>教学改革</w:t>
      </w:r>
      <w:bookmarkEnd w:id="39"/>
    </w:p>
    <w:p>
      <w:pPr>
        <w:spacing w:line="360" w:lineRule="auto"/>
        <w:ind w:firstLine="480" w:firstLineChars="200"/>
      </w:pPr>
      <w:r>
        <w:t>1</w:t>
      </w:r>
      <w:r>
        <w:rPr>
          <w:rFonts w:hint="eastAsia"/>
        </w:rPr>
        <w:t>．</w:t>
      </w:r>
      <w:r>
        <w:t>以社会需求为导向，完善专业培养计划</w:t>
      </w:r>
    </w:p>
    <w:p>
      <w:pPr>
        <w:spacing w:line="360" w:lineRule="auto"/>
        <w:ind w:firstLine="480" w:firstLineChars="200"/>
      </w:pPr>
      <w:r>
        <w:t>突出新形势下</w:t>
      </w:r>
      <w:r>
        <w:rPr>
          <w:rFonts w:hint="eastAsia"/>
        </w:rPr>
        <w:t>国际经济与贸易</w:t>
      </w:r>
      <w:r>
        <w:t>专业培养特色，将</w:t>
      </w:r>
      <w:r>
        <w:rPr>
          <w:rFonts w:hint="eastAsia"/>
        </w:rPr>
        <w:t>跨境电商与国际服务贸易</w:t>
      </w:r>
      <w:r>
        <w:t>作为人才培养的特色方向。教学过程中重视学生外语能力和</w:t>
      </w:r>
      <w:r>
        <w:rPr>
          <w:rFonts w:hint="eastAsia"/>
        </w:rPr>
        <w:t>贸易</w:t>
      </w:r>
      <w:r>
        <w:t>实践能力的培养，课程设置强化</w:t>
      </w:r>
      <w:r>
        <w:rPr>
          <w:rFonts w:hint="eastAsia"/>
        </w:rPr>
        <w:t>国贸专业知识</w:t>
      </w:r>
      <w:r>
        <w:t>教学，</w:t>
      </w:r>
      <w:r>
        <w:rPr>
          <w:rFonts w:hint="eastAsia"/>
        </w:rPr>
        <w:t>建设筹备</w:t>
      </w:r>
      <w:r>
        <w:t>双语教学，建立“知识＋能力＋素质”为主线的教学体系，塑造“厚基础重应用、多元化强外语、高素质富能力”的专业特色，构建产教融合的人才培养模式。</w:t>
      </w:r>
    </w:p>
    <w:p>
      <w:pPr>
        <w:spacing w:line="360" w:lineRule="auto"/>
        <w:ind w:firstLine="480" w:firstLineChars="200"/>
      </w:pPr>
      <w:r>
        <w:rPr>
          <w:rFonts w:hint="eastAsia"/>
        </w:rPr>
        <w:t>1、</w:t>
      </w:r>
      <w:r>
        <w:t>以教学团队为引领，加强师资队伍建设</w:t>
      </w:r>
    </w:p>
    <w:p>
      <w:pPr>
        <w:spacing w:line="360" w:lineRule="auto"/>
        <w:ind w:firstLine="480" w:firstLineChars="200"/>
      </w:pPr>
      <w:r>
        <w:t>一是要鼓励授课教师外出学习或进修，积极参加本领域的学术会议，不断更新专业知识，紧跟国际贸易的最新动态与学术前沿，提高传授知识与分析现实的能力。二是选派教师到外贸企业挂职锻炼，熟悉对外贸易的具体操作环节，提升教师的实践能力，才能在教学中有的放矢，不会造成教学内容与现实的脱节。三是可以从外贸企业引入工作经验丰富的兼职教师，组建高水平的校外兼职教师队伍，以解决校内教师实践经验不足的问题。</w:t>
      </w:r>
      <w:r>
        <w:rPr>
          <w:rFonts w:hint="eastAsia"/>
        </w:rPr>
        <w:t>四是</w:t>
      </w:r>
      <w:r>
        <w:t>积极联系</w:t>
      </w:r>
      <w:r>
        <w:rPr>
          <w:rFonts w:hint="eastAsia"/>
        </w:rPr>
        <w:t>贸易</w:t>
      </w:r>
      <w:r>
        <w:t>企业业界高层来校为师生开办讲座，增强学界与业界的联系，加强“双师型”师资队伍建设。</w:t>
      </w:r>
    </w:p>
    <w:p>
      <w:pPr>
        <w:spacing w:line="360" w:lineRule="auto"/>
        <w:ind w:firstLine="480" w:firstLineChars="200"/>
      </w:pPr>
      <w:r>
        <w:rPr>
          <w:rFonts w:hint="eastAsia"/>
        </w:rPr>
        <w:t>2、</w:t>
      </w:r>
      <w:r>
        <w:t xml:space="preserve">以学生为中心，建立现代化的教学模式 </w:t>
      </w:r>
    </w:p>
    <w:p>
      <w:pPr>
        <w:spacing w:line="360" w:lineRule="auto"/>
        <w:ind w:firstLine="480" w:firstLineChars="200"/>
      </w:pPr>
      <w:r>
        <w:rPr>
          <w:rFonts w:hint="eastAsia"/>
        </w:rPr>
        <w:t>本专业主要采用了</w:t>
      </w:r>
      <w:r>
        <w:t>以下做法：一是案例教学法。对真实</w:t>
      </w:r>
      <w:r>
        <w:rPr>
          <w:rFonts w:hint="eastAsia"/>
        </w:rPr>
        <w:t>的国际贸易</w:t>
      </w:r>
      <w:r>
        <w:t>案例进行分析，不仅可以培养学生分析现实问题的能力，也可以最大限度调动学生的积极性和主动性。如在贸易摩擦的讲解中以</w:t>
      </w:r>
      <w:r>
        <w:rPr>
          <w:rFonts w:hint="eastAsia"/>
        </w:rPr>
        <w:t>近年来</w:t>
      </w:r>
      <w:r>
        <w:t>中美</w:t>
      </w:r>
      <w:r>
        <w:rPr>
          <w:rFonts w:hint="eastAsia"/>
        </w:rPr>
        <w:t>“</w:t>
      </w:r>
      <w:r>
        <w:t>贸易战</w:t>
      </w:r>
      <w:r>
        <w:rPr>
          <w:rFonts w:hint="eastAsia"/>
        </w:rPr>
        <w:t>”</w:t>
      </w:r>
      <w:r>
        <w:t>为例，从经济、政治、文化多个角度分析贸易战爆发的原因、影响和后果，不仅吸引</w:t>
      </w:r>
      <w:r>
        <w:rPr>
          <w:rFonts w:hint="eastAsia"/>
        </w:rPr>
        <w:t>了</w:t>
      </w:r>
      <w:r>
        <w:t>学生的兴趣，通过分析也使学生对国家之间的贸易关系有了</w:t>
      </w:r>
      <w:r>
        <w:rPr>
          <w:rFonts w:hint="eastAsia"/>
        </w:rPr>
        <w:t>更</w:t>
      </w:r>
      <w:r>
        <w:t>深入的理解。二是翻转课堂。教师课前提前准备好如文献、慕课或微视频等资料，设定问题，让学生学习、思考，课上一起交流讨论</w:t>
      </w:r>
      <w:r>
        <w:rPr>
          <w:rFonts w:hint="eastAsia"/>
        </w:rPr>
        <w:t>，</w:t>
      </w:r>
      <w:r>
        <w:t xml:space="preserve">最大限度调动学生课下学习的主动性，也能锻炼学生的表达、思辨和搜集资料的能力。 </w:t>
      </w:r>
    </w:p>
    <w:p>
      <w:pPr>
        <w:spacing w:line="360" w:lineRule="auto"/>
        <w:ind w:firstLine="480" w:firstLineChars="200"/>
      </w:pPr>
      <w:r>
        <w:rPr>
          <w:rFonts w:hint="eastAsia"/>
        </w:rPr>
        <w:t>3、</w:t>
      </w:r>
      <w:r>
        <w:t>以实习基地为平台，推动实践教学开展</w:t>
      </w:r>
    </w:p>
    <w:p>
      <w:pPr>
        <w:spacing w:line="360" w:lineRule="auto"/>
        <w:ind w:firstLine="480" w:firstLineChars="200"/>
      </w:pPr>
      <w:r>
        <w:t>强化实践教学，构建多元化实践教学体系。加强实践教学管理，建立健全双向指导制度，加强校企协同创新合作，拓展实践教学基地类型，</w:t>
      </w:r>
      <w:r>
        <w:rPr>
          <w:rFonts w:hint="eastAsia"/>
        </w:rPr>
        <w:t>通过产学合作</w:t>
      </w:r>
      <w:r>
        <w:t>等</w:t>
      </w:r>
      <w:r>
        <w:rPr>
          <w:rFonts w:hint="eastAsia"/>
        </w:rPr>
        <w:t>方式建立</w:t>
      </w:r>
      <w:r>
        <w:t>教学实践基地。加强校内实习基地建设，开展</w:t>
      </w:r>
      <w:r>
        <w:rPr>
          <w:rFonts w:hint="eastAsia"/>
        </w:rPr>
        <w:t>与行业最新实践对接的</w:t>
      </w:r>
      <w:r>
        <w:t>实训和实习活动。</w:t>
      </w:r>
    </w:p>
    <w:p>
      <w:pPr>
        <w:pStyle w:val="3"/>
        <w:pageBreakBefore/>
        <w:spacing w:after="120" w:line="415" w:lineRule="auto"/>
        <w:jc w:val="left"/>
        <w:rPr>
          <w:rFonts w:ascii="宋体" w:hAnsi="宋体"/>
          <w:sz w:val="28"/>
          <w:szCs w:val="28"/>
        </w:rPr>
      </w:pPr>
      <w:r>
        <w:rPr>
          <w:rFonts w:ascii="宋体" w:hAnsi="宋体"/>
          <w:sz w:val="28"/>
          <w:szCs w:val="28"/>
        </w:rPr>
        <w:t>4.</w:t>
      </w:r>
      <w:bookmarkStart w:id="40" w:name="_Toc154735778"/>
      <w:r>
        <w:rPr>
          <w:rFonts w:ascii="宋体" w:hAnsi="宋体"/>
          <w:sz w:val="28"/>
          <w:szCs w:val="28"/>
        </w:rPr>
        <w:t>教师队伍</w:t>
      </w:r>
      <w:bookmarkEnd w:id="40"/>
      <w:r>
        <w:rPr>
          <w:rFonts w:ascii="宋体" w:hAnsi="宋体"/>
          <w:sz w:val="28"/>
          <w:szCs w:val="28"/>
        </w:rPr>
        <w:t xml:space="preserve"> </w:t>
      </w:r>
    </w:p>
    <w:p>
      <w:pPr>
        <w:spacing w:line="360" w:lineRule="auto"/>
        <w:ind w:firstLine="480" w:firstLineChars="200"/>
      </w:pPr>
      <w:bookmarkStart w:id="41" w:name="_Hlk131104762"/>
      <w:r>
        <w:rPr>
          <w:rFonts w:hint="eastAsia"/>
        </w:rPr>
        <w:t>本专业高度重视教师队伍建设，</w:t>
      </w:r>
      <w:bookmarkEnd w:id="41"/>
      <w:r>
        <w:rPr>
          <w:rFonts w:hint="eastAsia"/>
        </w:rPr>
        <w:t>积极组织教师（尤其是新教师）参加市教委、学校、学院组织的各类培训。积极支持鼓励专业教师参加各类国内外进修，专职教师中近三年博士后出站1名（邓业建、复旦大学）。三名教师获得第四届全国高校企业价值创造实战竞赛“优秀指导老师”称号（黄新祥、李芊蕾、邓业建）。</w:t>
      </w:r>
    </w:p>
    <w:p>
      <w:pPr>
        <w:pStyle w:val="4"/>
        <w:rPr>
          <w:rFonts w:ascii="宋体" w:hAnsi="宋体" w:eastAsia="宋体"/>
          <w:b w:val="0"/>
          <w:bCs w:val="0"/>
          <w:sz w:val="24"/>
          <w:szCs w:val="24"/>
        </w:rPr>
      </w:pPr>
      <w:bookmarkStart w:id="42" w:name="_Toc154735779"/>
      <w:r>
        <w:rPr>
          <w:rFonts w:ascii="宋体" w:hAnsi="宋体" w:eastAsia="宋体"/>
          <w:b w:val="0"/>
          <w:bCs w:val="0"/>
          <w:sz w:val="24"/>
          <w:szCs w:val="24"/>
        </w:rPr>
        <w:t>4.1专业教师数量与结构</w:t>
      </w:r>
      <w:bookmarkEnd w:id="42"/>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p>
      <w:pPr>
        <w:spacing w:line="360" w:lineRule="auto"/>
        <w:ind w:firstLine="480" w:firstLineChars="200"/>
      </w:pPr>
      <w:r>
        <w:t>目前，</w:t>
      </w:r>
      <w:r>
        <w:rPr>
          <w:rFonts w:hint="eastAsia"/>
        </w:rPr>
        <w:t>国际经济与贸易</w:t>
      </w:r>
      <w:r>
        <w:t>专业拥有专任教师27人，其中</w:t>
      </w:r>
      <w:r>
        <w:rPr>
          <w:rFonts w:hint="eastAsia"/>
        </w:rPr>
        <w:t>高级职称教师</w:t>
      </w:r>
      <w:r>
        <w:t>10</w:t>
      </w:r>
      <w:r>
        <w:rPr>
          <w:rFonts w:hint="eastAsia"/>
        </w:rPr>
        <w:t>人</w:t>
      </w:r>
      <w:r>
        <w:t>，</w:t>
      </w:r>
      <w:r>
        <w:rPr>
          <w:rFonts w:hint="eastAsia"/>
        </w:rPr>
        <w:t>具有行业企业背景教师</w:t>
      </w:r>
      <w:r>
        <w:t>9人。</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27</w:t>
            </w:r>
            <w:bookmarkStart w:id="43" w:name="OLE_LINK1"/>
            <w:bookmarkEnd w:id="43"/>
          </w:p>
        </w:tc>
        <w:tc>
          <w:tcPr>
            <w:tcW w:w="1638"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其中：</w:t>
            </w:r>
            <w:bookmarkStart w:id="44" w:name="OLE_LINK26"/>
            <w:r>
              <w:rPr>
                <w:rFonts w:hint="eastAsia"/>
                <w:sz w:val="21"/>
                <w:szCs w:val="21"/>
              </w:rPr>
              <w:t>近五年新增教师</w:t>
            </w:r>
            <w:bookmarkEnd w:id="44"/>
          </w:p>
        </w:tc>
        <w:tc>
          <w:tcPr>
            <w:tcW w:w="1843" w:type="dxa"/>
            <w:vAlign w:val="center"/>
          </w:tcPr>
          <w:p>
            <w:pPr>
              <w:jc w:val="center"/>
              <w:rPr>
                <w:sz w:val="21"/>
                <w:szCs w:val="21"/>
              </w:rPr>
            </w:pPr>
            <w:r>
              <w:rPr>
                <w:sz w:val="21"/>
                <w:szCs w:val="21"/>
              </w:rPr>
              <w:t>12</w:t>
            </w:r>
            <w:bookmarkStart w:id="45" w:name="OLE_LINK23"/>
            <w:bookmarkEnd w:id="45"/>
          </w:p>
        </w:tc>
        <w:tc>
          <w:tcPr>
            <w:tcW w:w="1638" w:type="dxa"/>
            <w:vAlign w:val="center"/>
          </w:tcPr>
          <w:p>
            <w:pPr>
              <w:jc w:val="center"/>
              <w:rPr>
                <w:sz w:val="21"/>
                <w:szCs w:val="21"/>
              </w:rPr>
            </w:pPr>
            <w:r>
              <w:rPr>
                <w:sz w:val="21"/>
                <w:szCs w:val="21"/>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15</w:t>
            </w:r>
          </w:p>
        </w:tc>
        <w:tc>
          <w:tcPr>
            <w:tcW w:w="1638" w:type="dxa"/>
            <w:vAlign w:val="center"/>
          </w:tcPr>
          <w:p>
            <w:pPr>
              <w:jc w:val="center"/>
              <w:rPr>
                <w:sz w:val="21"/>
                <w:szCs w:val="21"/>
              </w:rPr>
            </w:pPr>
            <w:r>
              <w:rPr>
                <w:sz w:val="21"/>
                <w:szCs w:val="21"/>
              </w:rPr>
              <w:t>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9</w:t>
            </w:r>
          </w:p>
        </w:tc>
        <w:tc>
          <w:tcPr>
            <w:tcW w:w="1638" w:type="dxa"/>
            <w:vAlign w:val="center"/>
          </w:tcPr>
          <w:p>
            <w:pPr>
              <w:jc w:val="center"/>
              <w:rPr>
                <w:sz w:val="21"/>
                <w:szCs w:val="21"/>
              </w:rPr>
            </w:pPr>
            <w:r>
              <w:rPr>
                <w:sz w:val="21"/>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10</w:t>
            </w:r>
          </w:p>
        </w:tc>
        <w:tc>
          <w:tcPr>
            <w:tcW w:w="1638" w:type="dxa"/>
            <w:vAlign w:val="center"/>
          </w:tcPr>
          <w:p>
            <w:pPr>
              <w:jc w:val="center"/>
              <w:rPr>
                <w:sz w:val="21"/>
                <w:szCs w:val="21"/>
              </w:rPr>
            </w:pPr>
            <w:r>
              <w:rPr>
                <w:sz w:val="21"/>
                <w:szCs w:val="21"/>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12</w:t>
            </w:r>
            <w:bookmarkStart w:id="46" w:name="OLE_LINK24"/>
            <w:bookmarkEnd w:id="46"/>
          </w:p>
        </w:tc>
        <w:tc>
          <w:tcPr>
            <w:tcW w:w="1638" w:type="dxa"/>
            <w:vAlign w:val="center"/>
          </w:tcPr>
          <w:p>
            <w:pPr>
              <w:jc w:val="center"/>
              <w:rPr>
                <w:sz w:val="21"/>
                <w:szCs w:val="21"/>
              </w:rPr>
            </w:pPr>
            <w:r>
              <w:rPr>
                <w:sz w:val="21"/>
                <w:szCs w:val="21"/>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2</w:t>
            </w:r>
            <w:bookmarkStart w:id="47" w:name="OLE_LINK25"/>
            <w:bookmarkEnd w:id="47"/>
          </w:p>
        </w:tc>
        <w:tc>
          <w:tcPr>
            <w:tcW w:w="1638" w:type="dxa"/>
            <w:vAlign w:val="center"/>
          </w:tcPr>
          <w:p>
            <w:pPr>
              <w:jc w:val="center"/>
              <w:rPr>
                <w:sz w:val="21"/>
                <w:szCs w:val="21"/>
              </w:rPr>
            </w:pPr>
            <w:r>
              <w:rPr>
                <w:sz w:val="21"/>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1</w:t>
            </w:r>
          </w:p>
        </w:tc>
        <w:tc>
          <w:tcPr>
            <w:tcW w:w="1638" w:type="dxa"/>
            <w:vAlign w:val="center"/>
          </w:tcPr>
          <w:p>
            <w:pPr>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48" w:name="OLE_LINK22"/>
            <w:bookmarkEnd w:id="48"/>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p>
      <w:pPr>
        <w:spacing w:line="360" w:lineRule="auto"/>
        <w:ind w:firstLine="480" w:firstLineChars="200"/>
      </w:pPr>
      <w:r>
        <w:rPr>
          <w:rFonts w:hint="eastAsia"/>
        </w:rPr>
        <w:t>国际经济与贸易</w:t>
      </w:r>
      <w:r>
        <w:t>专业教学团队中教师大多来自复旦大学、</w:t>
      </w:r>
      <w:r>
        <w:rPr>
          <w:rFonts w:hint="eastAsia"/>
        </w:rPr>
        <w:t>上海交通大学、武汉大学</w:t>
      </w:r>
      <w:r>
        <w:t>、上海财经大学</w:t>
      </w:r>
      <w:r>
        <w:rPr>
          <w:rFonts w:hint="eastAsia"/>
        </w:rPr>
        <w:t>、武汉理工大学</w:t>
      </w:r>
      <w:r>
        <w:t>等</w:t>
      </w:r>
      <w:r>
        <w:rPr>
          <w:rFonts w:hint="eastAsia"/>
        </w:rPr>
        <w:t>海内外高校，</w:t>
      </w:r>
      <w:r>
        <w:t>“985”或“211”大学的比例占到100%</w:t>
      </w:r>
      <w:r>
        <w:rPr>
          <w:rFonts w:hint="eastAsia"/>
        </w:rPr>
        <w:t>，并且80%的教师为博士学位，20%为硕士学位；在学缘分析上，教师毕业于外校的占9</w:t>
      </w:r>
      <w:r>
        <w:t>2.59</w:t>
      </w:r>
      <w:r>
        <w:rPr>
          <w:rFonts w:hint="eastAsia"/>
        </w:rPr>
        <w:t>%，校内占</w:t>
      </w:r>
      <w:r>
        <w:t>7.41</w:t>
      </w:r>
      <w:r>
        <w:rPr>
          <w:rFonts w:hint="eastAsia"/>
        </w:rPr>
        <w:t>%，其中，毕业于境外的教师占到1</w:t>
      </w:r>
      <w:r>
        <w:t>8.52</w:t>
      </w:r>
      <w:r>
        <w:rPr>
          <w:rFonts w:hint="eastAsia"/>
        </w:rPr>
        <w:t>%；年龄结构合理，3</w:t>
      </w:r>
      <w:r>
        <w:t>5</w:t>
      </w:r>
      <w:r>
        <w:rPr>
          <w:rFonts w:hint="eastAsia"/>
        </w:rPr>
        <w:t>岁及以下教师占比3</w:t>
      </w:r>
      <w:r>
        <w:t>7.04</w:t>
      </w:r>
      <w:r>
        <w:rPr>
          <w:rFonts w:hint="eastAsia"/>
        </w:rPr>
        <w:t>%，3</w:t>
      </w:r>
      <w:r>
        <w:t>6</w:t>
      </w:r>
      <w:r>
        <w:rPr>
          <w:rFonts w:hint="eastAsia"/>
        </w:rPr>
        <w:t>-</w:t>
      </w:r>
      <w:r>
        <w:t>45</w:t>
      </w:r>
      <w:r>
        <w:rPr>
          <w:rFonts w:hint="eastAsia"/>
        </w:rPr>
        <w:t>岁教师占比2</w:t>
      </w:r>
      <w:r>
        <w:t>9.63</w:t>
      </w:r>
      <w:r>
        <w:rPr>
          <w:rFonts w:hint="eastAsia"/>
        </w:rPr>
        <w:t>%，4</w:t>
      </w:r>
      <w:r>
        <w:t>6</w:t>
      </w:r>
      <w:r>
        <w:rPr>
          <w:rFonts w:hint="eastAsia"/>
        </w:rPr>
        <w:t>-</w:t>
      </w:r>
      <w:r>
        <w:t>55</w:t>
      </w:r>
      <w:r>
        <w:rPr>
          <w:rFonts w:hint="eastAsia"/>
        </w:rPr>
        <w:t>岁教师占比2</w:t>
      </w:r>
      <w:r>
        <w:t>9.63</w:t>
      </w:r>
      <w:r>
        <w:rPr>
          <w:rFonts w:hint="eastAsia"/>
        </w:rPr>
        <w:t>,</w:t>
      </w:r>
      <w:r>
        <w:t>56</w:t>
      </w:r>
      <w:r>
        <w:rPr>
          <w:rFonts w:hint="eastAsia"/>
        </w:rPr>
        <w:t>岁及以上教师占比</w:t>
      </w:r>
      <w:r>
        <w:t>3.7</w:t>
      </w:r>
      <w:r>
        <w:rPr>
          <w:rFonts w:hint="eastAsia"/>
        </w:rPr>
        <w:t>%</w:t>
      </w:r>
      <w:r>
        <w:t>。</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27</w:t>
            </w:r>
          </w:p>
        </w:tc>
        <w:tc>
          <w:tcPr>
            <w:tcW w:w="2074"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11</w:t>
            </w:r>
          </w:p>
        </w:tc>
        <w:tc>
          <w:tcPr>
            <w:tcW w:w="2074" w:type="dxa"/>
            <w:vAlign w:val="center"/>
          </w:tcPr>
          <w:p>
            <w:pPr>
              <w:jc w:val="center"/>
              <w:rPr>
                <w:sz w:val="21"/>
                <w:szCs w:val="21"/>
              </w:rPr>
            </w:pPr>
            <w:r>
              <w:rPr>
                <w:sz w:val="21"/>
                <w:szCs w:val="21"/>
              </w:rPr>
              <w:t>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bookmarkStart w:id="49" w:name="OLE_LINK30"/>
            <w:r>
              <w:rPr>
                <w:rFonts w:hint="eastAsia"/>
                <w:sz w:val="21"/>
                <w:szCs w:val="21"/>
              </w:rPr>
              <w:t>最高学位</w:t>
            </w:r>
            <w:bookmarkEnd w:id="49"/>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9</w:t>
            </w:r>
          </w:p>
        </w:tc>
        <w:tc>
          <w:tcPr>
            <w:tcW w:w="2074" w:type="dxa"/>
            <w:vAlign w:val="center"/>
          </w:tcPr>
          <w:p>
            <w:pPr>
              <w:jc w:val="center"/>
              <w:rPr>
                <w:sz w:val="21"/>
                <w:szCs w:val="21"/>
              </w:rPr>
            </w:pPr>
            <w:r>
              <w:rPr>
                <w:sz w:val="21"/>
                <w:szCs w:val="21"/>
              </w:rPr>
              <w:t>33.33</w:t>
            </w:r>
            <w:bookmarkStart w:id="50" w:name="OLE_LINK31"/>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18</w:t>
            </w:r>
          </w:p>
        </w:tc>
        <w:tc>
          <w:tcPr>
            <w:tcW w:w="2074" w:type="dxa"/>
            <w:vAlign w:val="center"/>
          </w:tcPr>
          <w:p>
            <w:pPr>
              <w:jc w:val="center"/>
              <w:rPr>
                <w:sz w:val="21"/>
                <w:szCs w:val="21"/>
              </w:rPr>
            </w:pPr>
            <w:r>
              <w:rPr>
                <w:sz w:val="21"/>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10</w:t>
            </w:r>
          </w:p>
        </w:tc>
        <w:tc>
          <w:tcPr>
            <w:tcW w:w="2074" w:type="dxa"/>
            <w:vAlign w:val="center"/>
          </w:tcPr>
          <w:p>
            <w:pPr>
              <w:jc w:val="center"/>
              <w:rPr>
                <w:sz w:val="21"/>
                <w:szCs w:val="21"/>
              </w:rPr>
            </w:pPr>
            <w:r>
              <w:rPr>
                <w:sz w:val="21"/>
                <w:szCs w:val="21"/>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29.63</w:t>
            </w:r>
            <w:bookmarkStart w:id="51" w:name="OLE_LINK32"/>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2" w:name="OLE_LINK27"/>
            <w:r>
              <w:rPr>
                <w:rFonts w:hint="eastAsia"/>
                <w:sz w:val="21"/>
                <w:szCs w:val="22"/>
              </w:rPr>
              <w:t>本校</w:t>
            </w:r>
            <w:bookmarkEnd w:id="52"/>
          </w:p>
        </w:tc>
        <w:tc>
          <w:tcPr>
            <w:tcW w:w="2074" w:type="dxa"/>
            <w:vAlign w:val="center"/>
          </w:tcPr>
          <w:p>
            <w:pPr>
              <w:jc w:val="center"/>
              <w:rPr>
                <w:sz w:val="21"/>
                <w:szCs w:val="21"/>
              </w:rPr>
            </w:pPr>
            <w:r>
              <w:rPr>
                <w:sz w:val="21"/>
                <w:szCs w:val="21"/>
              </w:rPr>
              <w:t>2</w:t>
            </w:r>
            <w:bookmarkStart w:id="53" w:name="OLE_LINK29"/>
            <w:bookmarkEnd w:id="53"/>
          </w:p>
        </w:tc>
        <w:tc>
          <w:tcPr>
            <w:tcW w:w="2074" w:type="dxa"/>
            <w:vAlign w:val="center"/>
          </w:tcPr>
          <w:p>
            <w:pPr>
              <w:jc w:val="center"/>
              <w:rPr>
                <w:sz w:val="21"/>
                <w:szCs w:val="21"/>
              </w:rPr>
            </w:pPr>
            <w:r>
              <w:rPr>
                <w:sz w:val="21"/>
                <w:szCs w:val="21"/>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4" w:name="OLE_LINK28"/>
            <w:r>
              <w:rPr>
                <w:rFonts w:hint="eastAsia"/>
                <w:sz w:val="21"/>
                <w:szCs w:val="22"/>
              </w:rPr>
              <w:t>外校</w:t>
            </w:r>
            <w:bookmarkEnd w:id="54"/>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20</w:t>
            </w:r>
          </w:p>
        </w:tc>
        <w:tc>
          <w:tcPr>
            <w:tcW w:w="2074" w:type="dxa"/>
            <w:vAlign w:val="center"/>
          </w:tcPr>
          <w:p>
            <w:pPr>
              <w:jc w:val="center"/>
              <w:rPr>
                <w:sz w:val="21"/>
                <w:szCs w:val="21"/>
              </w:rPr>
            </w:pPr>
            <w:r>
              <w:rPr>
                <w:sz w:val="21"/>
                <w:szCs w:val="21"/>
              </w:rPr>
              <w:t>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5</w:t>
            </w:r>
          </w:p>
        </w:tc>
        <w:tc>
          <w:tcPr>
            <w:tcW w:w="2074" w:type="dxa"/>
            <w:vAlign w:val="center"/>
          </w:tcPr>
          <w:p>
            <w:pPr>
              <w:jc w:val="center"/>
              <w:rPr>
                <w:sz w:val="21"/>
                <w:szCs w:val="21"/>
              </w:rPr>
            </w:pPr>
            <w:r>
              <w:rPr>
                <w:sz w:val="21"/>
                <w:szCs w:val="21"/>
              </w:rPr>
              <w:t>18.52</w:t>
            </w:r>
          </w:p>
        </w:tc>
      </w:tr>
    </w:tbl>
    <w:p/>
    <w:p>
      <w:pPr>
        <w:pStyle w:val="4"/>
        <w:rPr>
          <w:rFonts w:ascii="宋体" w:hAnsi="宋体" w:eastAsia="宋体"/>
          <w:b w:val="0"/>
          <w:bCs w:val="0"/>
          <w:sz w:val="24"/>
          <w:szCs w:val="24"/>
        </w:rPr>
      </w:pPr>
      <w:bookmarkStart w:id="55" w:name="_Toc154735780"/>
      <w:r>
        <w:rPr>
          <w:rFonts w:ascii="宋体" w:hAnsi="宋体" w:eastAsia="宋体"/>
          <w:b w:val="0"/>
          <w:bCs w:val="0"/>
          <w:sz w:val="24"/>
          <w:szCs w:val="24"/>
        </w:rPr>
        <w:t>4.2授课师资分析</w:t>
      </w:r>
      <w:bookmarkEnd w:id="55"/>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p>
      <w:pPr>
        <w:widowControl w:val="0"/>
        <w:spacing w:line="360" w:lineRule="auto"/>
        <w:ind w:firstLine="480" w:firstLineChars="200"/>
      </w:pPr>
      <w:r>
        <w:t>专业课校内授课教师</w:t>
      </w:r>
      <w:r>
        <w:rPr>
          <w:rFonts w:hint="eastAsia"/>
        </w:rPr>
        <w:t>总共1</w:t>
      </w:r>
      <w:r>
        <w:t>12</w:t>
      </w:r>
      <w:r>
        <w:rPr>
          <w:rFonts w:hint="eastAsia"/>
        </w:rPr>
        <w:t>人，其中正高级15人，副高级39人。核心课授课教师</w:t>
      </w:r>
      <w:r>
        <w:t>33</w:t>
      </w:r>
      <w:r>
        <w:rPr>
          <w:rFonts w:hint="eastAsia"/>
        </w:rPr>
        <w:t>人，其中教授6人，副教授1</w:t>
      </w:r>
      <w:r>
        <w:t>2</w:t>
      </w:r>
      <w:r>
        <w:rPr>
          <w:rFonts w:hint="eastAsia"/>
        </w:rPr>
        <w:t>人。</w:t>
      </w:r>
      <w:r>
        <w:t xml:space="preserve"> </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6" w:name="OLE_LINK33"/>
            <w:r>
              <w:rPr>
                <w:rFonts w:hint="eastAsia"/>
                <w:sz w:val="21"/>
                <w:szCs w:val="21"/>
              </w:rPr>
              <w:t>核心课授课</w:t>
            </w:r>
            <w:bookmarkEnd w:id="56"/>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总数</w:t>
            </w:r>
          </w:p>
        </w:tc>
        <w:tc>
          <w:tcPr>
            <w:tcW w:w="1821" w:type="dxa"/>
            <w:vAlign w:val="center"/>
          </w:tcPr>
          <w:p>
            <w:pPr>
              <w:jc w:val="center"/>
              <w:rPr>
                <w:sz w:val="21"/>
                <w:szCs w:val="21"/>
              </w:rPr>
            </w:pPr>
            <w:r>
              <w:rPr>
                <w:sz w:val="21"/>
                <w:szCs w:val="21"/>
              </w:rPr>
              <w:t>112</w:t>
            </w:r>
          </w:p>
        </w:tc>
        <w:tc>
          <w:tcPr>
            <w:tcW w:w="1822"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33</w:t>
            </w:r>
          </w:p>
        </w:tc>
        <w:tc>
          <w:tcPr>
            <w:tcW w:w="206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教授</w:t>
            </w:r>
          </w:p>
        </w:tc>
        <w:tc>
          <w:tcPr>
            <w:tcW w:w="1821" w:type="dxa"/>
            <w:vAlign w:val="center"/>
          </w:tcPr>
          <w:p>
            <w:pPr>
              <w:jc w:val="center"/>
              <w:rPr>
                <w:sz w:val="21"/>
                <w:szCs w:val="21"/>
              </w:rPr>
            </w:pPr>
            <w:r>
              <w:rPr>
                <w:sz w:val="21"/>
                <w:szCs w:val="21"/>
              </w:rPr>
              <w:t>15</w:t>
            </w:r>
          </w:p>
        </w:tc>
        <w:tc>
          <w:tcPr>
            <w:tcW w:w="1822" w:type="dxa"/>
            <w:vAlign w:val="center"/>
          </w:tcPr>
          <w:p>
            <w:pPr>
              <w:jc w:val="center"/>
              <w:rPr>
                <w:sz w:val="21"/>
                <w:szCs w:val="21"/>
              </w:rPr>
            </w:pPr>
            <w:r>
              <w:rPr>
                <w:sz w:val="21"/>
                <w:szCs w:val="21"/>
              </w:rPr>
              <w:t>13.39</w:t>
            </w:r>
          </w:p>
        </w:tc>
        <w:tc>
          <w:tcPr>
            <w:tcW w:w="2060" w:type="dxa"/>
            <w:vAlign w:val="center"/>
          </w:tcPr>
          <w:p>
            <w:pPr>
              <w:jc w:val="center"/>
              <w:rPr>
                <w:sz w:val="21"/>
                <w:szCs w:val="21"/>
              </w:rPr>
            </w:pPr>
            <w:r>
              <w:rPr>
                <w:sz w:val="21"/>
                <w:szCs w:val="21"/>
              </w:rPr>
              <w:t>6</w:t>
            </w:r>
          </w:p>
        </w:tc>
        <w:tc>
          <w:tcPr>
            <w:tcW w:w="2060" w:type="dxa"/>
            <w:vAlign w:val="center"/>
          </w:tcPr>
          <w:p>
            <w:pPr>
              <w:jc w:val="center"/>
              <w:rPr>
                <w:sz w:val="21"/>
                <w:szCs w:val="21"/>
              </w:rPr>
            </w:pPr>
            <w:r>
              <w:rPr>
                <w:sz w:val="21"/>
                <w:szCs w:val="21"/>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副教授</w:t>
            </w:r>
          </w:p>
        </w:tc>
        <w:tc>
          <w:tcPr>
            <w:tcW w:w="1821" w:type="dxa"/>
            <w:vAlign w:val="center"/>
          </w:tcPr>
          <w:p>
            <w:pPr>
              <w:jc w:val="center"/>
              <w:rPr>
                <w:sz w:val="21"/>
                <w:szCs w:val="21"/>
              </w:rPr>
            </w:pPr>
            <w:r>
              <w:rPr>
                <w:sz w:val="21"/>
                <w:szCs w:val="21"/>
              </w:rPr>
              <w:t>39</w:t>
            </w:r>
          </w:p>
        </w:tc>
        <w:tc>
          <w:tcPr>
            <w:tcW w:w="1822" w:type="dxa"/>
            <w:vAlign w:val="center"/>
          </w:tcPr>
          <w:p>
            <w:pPr>
              <w:jc w:val="center"/>
              <w:rPr>
                <w:sz w:val="21"/>
                <w:szCs w:val="21"/>
              </w:rPr>
            </w:pPr>
            <w:r>
              <w:rPr>
                <w:sz w:val="21"/>
                <w:szCs w:val="21"/>
              </w:rPr>
              <w:t>34.82</w:t>
            </w:r>
          </w:p>
        </w:tc>
        <w:tc>
          <w:tcPr>
            <w:tcW w:w="2060" w:type="dxa"/>
            <w:vAlign w:val="center"/>
          </w:tcPr>
          <w:p>
            <w:pPr>
              <w:jc w:val="center"/>
              <w:rPr>
                <w:sz w:val="21"/>
                <w:szCs w:val="21"/>
              </w:rPr>
            </w:pPr>
            <w:r>
              <w:rPr>
                <w:sz w:val="21"/>
                <w:szCs w:val="21"/>
              </w:rPr>
              <w:t>12</w:t>
            </w:r>
          </w:p>
        </w:tc>
        <w:tc>
          <w:tcPr>
            <w:tcW w:w="2060" w:type="dxa"/>
            <w:vAlign w:val="center"/>
          </w:tcPr>
          <w:p>
            <w:pPr>
              <w:jc w:val="center"/>
              <w:rPr>
                <w:sz w:val="21"/>
                <w:szCs w:val="21"/>
              </w:rPr>
            </w:pPr>
            <w:r>
              <w:rPr>
                <w:sz w:val="21"/>
                <w:szCs w:val="21"/>
              </w:rPr>
              <w:t>36.36</w:t>
            </w:r>
            <w:bookmarkStart w:id="57" w:name="OLE_LINK34"/>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讲师</w:t>
            </w:r>
          </w:p>
        </w:tc>
        <w:tc>
          <w:tcPr>
            <w:tcW w:w="1821" w:type="dxa"/>
            <w:vAlign w:val="center"/>
          </w:tcPr>
          <w:p>
            <w:pPr>
              <w:jc w:val="center"/>
              <w:rPr>
                <w:sz w:val="21"/>
                <w:szCs w:val="21"/>
              </w:rPr>
            </w:pPr>
            <w:r>
              <w:rPr>
                <w:sz w:val="21"/>
                <w:szCs w:val="21"/>
              </w:rPr>
              <w:t>46</w:t>
            </w:r>
          </w:p>
        </w:tc>
        <w:tc>
          <w:tcPr>
            <w:tcW w:w="1822" w:type="dxa"/>
            <w:vAlign w:val="center"/>
          </w:tcPr>
          <w:p>
            <w:pPr>
              <w:jc w:val="center"/>
              <w:rPr>
                <w:sz w:val="21"/>
                <w:szCs w:val="21"/>
              </w:rPr>
            </w:pPr>
            <w:r>
              <w:rPr>
                <w:sz w:val="21"/>
                <w:szCs w:val="21"/>
              </w:rPr>
              <w:t>41.07</w:t>
            </w:r>
          </w:p>
        </w:tc>
        <w:tc>
          <w:tcPr>
            <w:tcW w:w="2060" w:type="dxa"/>
            <w:vAlign w:val="center"/>
          </w:tcPr>
          <w:p>
            <w:pPr>
              <w:jc w:val="center"/>
              <w:rPr>
                <w:sz w:val="21"/>
                <w:szCs w:val="21"/>
              </w:rPr>
            </w:pPr>
            <w:r>
              <w:rPr>
                <w:sz w:val="21"/>
                <w:szCs w:val="21"/>
              </w:rPr>
              <w:t>15</w:t>
            </w:r>
          </w:p>
        </w:tc>
        <w:tc>
          <w:tcPr>
            <w:tcW w:w="2060" w:type="dxa"/>
            <w:vAlign w:val="center"/>
          </w:tcPr>
          <w:p>
            <w:pPr>
              <w:jc w:val="center"/>
              <w:rPr>
                <w:sz w:val="21"/>
                <w:szCs w:val="21"/>
              </w:rPr>
            </w:pPr>
            <w:r>
              <w:rPr>
                <w:sz w:val="21"/>
                <w:szCs w:val="21"/>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助教</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其他正高级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0.89</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其他副高级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0.89</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其他中级</w:t>
            </w:r>
          </w:p>
        </w:tc>
        <w:tc>
          <w:tcPr>
            <w:tcW w:w="1821" w:type="dxa"/>
            <w:vAlign w:val="center"/>
          </w:tcPr>
          <w:p>
            <w:pPr>
              <w:jc w:val="center"/>
              <w:rPr>
                <w:sz w:val="21"/>
                <w:szCs w:val="21"/>
              </w:rPr>
            </w:pPr>
            <w:r>
              <w:rPr>
                <w:sz w:val="21"/>
                <w:szCs w:val="21"/>
              </w:rPr>
              <w:t>10</w:t>
            </w:r>
          </w:p>
        </w:tc>
        <w:tc>
          <w:tcPr>
            <w:tcW w:w="1822" w:type="dxa"/>
            <w:vAlign w:val="center"/>
          </w:tcPr>
          <w:p>
            <w:pPr>
              <w:jc w:val="center"/>
              <w:rPr>
                <w:sz w:val="21"/>
                <w:szCs w:val="21"/>
              </w:rPr>
            </w:pPr>
            <w:r>
              <w:rPr>
                <w:sz w:val="21"/>
                <w:szCs w:val="21"/>
              </w:rPr>
              <w:t>8.93</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其他初级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未评级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p>
      <w:pPr>
        <w:spacing w:line="360" w:lineRule="auto"/>
        <w:ind w:firstLine="480" w:firstLineChars="200"/>
      </w:pPr>
      <w:r>
        <w:rPr>
          <w:rFonts w:hint="eastAsia"/>
        </w:rPr>
        <w:t>专业课</w:t>
      </w:r>
      <w:r>
        <w:t>校内授课教师</w:t>
      </w:r>
      <w:r>
        <w:rPr>
          <w:rFonts w:hint="eastAsia"/>
        </w:rPr>
        <w:t>1</w:t>
      </w:r>
      <w:r>
        <w:t>12</w:t>
      </w:r>
      <w:r>
        <w:rPr>
          <w:rFonts w:hint="eastAsia"/>
        </w:rPr>
        <w:t>人，其中</w:t>
      </w:r>
      <w:r>
        <w:t>最高学位</w:t>
      </w:r>
      <w:r>
        <w:rPr>
          <w:rFonts w:hint="eastAsia"/>
        </w:rPr>
        <w:t>为博士的</w:t>
      </w:r>
      <w:r>
        <w:t>81</w:t>
      </w:r>
      <w:r>
        <w:rPr>
          <w:rFonts w:hint="eastAsia"/>
        </w:rPr>
        <w:t>人，占比7</w:t>
      </w:r>
      <w:r>
        <w:t>2</w:t>
      </w:r>
      <w:r>
        <w:rPr>
          <w:rFonts w:hint="eastAsia"/>
        </w:rPr>
        <w:t>.</w:t>
      </w:r>
      <w:r>
        <w:t>32</w:t>
      </w:r>
      <w:r>
        <w:rPr>
          <w:rFonts w:hint="eastAsia"/>
        </w:rPr>
        <w:t>%，为硕士的</w:t>
      </w:r>
      <w:r>
        <w:t>30</w:t>
      </w:r>
      <w:r>
        <w:rPr>
          <w:rFonts w:hint="eastAsia"/>
        </w:rPr>
        <w:t>人，占比26.</w:t>
      </w:r>
      <w:r>
        <w:t>79</w:t>
      </w:r>
      <w:r>
        <w:rPr>
          <w:rFonts w:hint="eastAsia"/>
        </w:rPr>
        <w:t>%。核心课授课教师共</w:t>
      </w:r>
      <w:r>
        <w:t>33</w:t>
      </w:r>
      <w:r>
        <w:rPr>
          <w:rFonts w:hint="eastAsia"/>
        </w:rPr>
        <w:t>人，其中博士学位为</w:t>
      </w:r>
      <w:r>
        <w:t>28</w:t>
      </w:r>
      <w:r>
        <w:rPr>
          <w:rFonts w:hint="eastAsia"/>
        </w:rPr>
        <w:t>人，占比</w:t>
      </w:r>
      <w:r>
        <w:t>84</w:t>
      </w:r>
      <w:r>
        <w:rPr>
          <w:rFonts w:hint="eastAsia"/>
        </w:rPr>
        <w:t>.</w:t>
      </w:r>
      <w:r>
        <w:t>85</w:t>
      </w:r>
      <w:r>
        <w:rPr>
          <w:rFonts w:hint="eastAsia"/>
        </w:rPr>
        <w:t>%，硕士学位为</w:t>
      </w:r>
      <w:r>
        <w:t>5</w:t>
      </w:r>
      <w:r>
        <w:rPr>
          <w:rFonts w:hint="eastAsia"/>
        </w:rPr>
        <w:t>人，占比</w:t>
      </w:r>
      <w:r>
        <w:t>15</w:t>
      </w:r>
      <w:r>
        <w:rPr>
          <w:rFonts w:hint="eastAsia"/>
        </w:rPr>
        <w:t>.</w:t>
      </w:r>
      <w:r>
        <w:t>15</w:t>
      </w:r>
      <w:r>
        <w:rPr>
          <w:rFonts w:hint="eastAsia"/>
        </w:rPr>
        <w:t>%。</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81</w:t>
            </w:r>
          </w:p>
        </w:tc>
        <w:tc>
          <w:tcPr>
            <w:tcW w:w="1628" w:type="dxa"/>
            <w:vAlign w:val="center"/>
          </w:tcPr>
          <w:p>
            <w:pPr>
              <w:jc w:val="center"/>
              <w:rPr>
                <w:sz w:val="21"/>
                <w:szCs w:val="21"/>
              </w:rPr>
            </w:pPr>
            <w:r>
              <w:rPr>
                <w:sz w:val="21"/>
                <w:szCs w:val="21"/>
              </w:rPr>
              <w:t>72.32</w:t>
            </w:r>
          </w:p>
        </w:tc>
        <w:tc>
          <w:tcPr>
            <w:tcW w:w="2074" w:type="dxa"/>
            <w:vAlign w:val="center"/>
          </w:tcPr>
          <w:p>
            <w:pPr>
              <w:jc w:val="center"/>
              <w:rPr>
                <w:sz w:val="21"/>
                <w:szCs w:val="21"/>
              </w:rPr>
            </w:pPr>
            <w:r>
              <w:rPr>
                <w:sz w:val="21"/>
                <w:szCs w:val="21"/>
              </w:rPr>
              <w:t>28</w:t>
            </w:r>
          </w:p>
        </w:tc>
        <w:tc>
          <w:tcPr>
            <w:tcW w:w="1925" w:type="dxa"/>
            <w:vAlign w:val="center"/>
          </w:tcPr>
          <w:p>
            <w:pPr>
              <w:jc w:val="center"/>
              <w:rPr>
                <w:sz w:val="21"/>
                <w:szCs w:val="21"/>
              </w:rPr>
            </w:pPr>
            <w:r>
              <w:rPr>
                <w:sz w:val="21"/>
                <w:szCs w:val="21"/>
              </w:rPr>
              <w:t>84.85</w:t>
            </w:r>
            <w:bookmarkStart w:id="58" w:name="OLE_LINK36"/>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30</w:t>
            </w:r>
          </w:p>
        </w:tc>
        <w:tc>
          <w:tcPr>
            <w:tcW w:w="1628" w:type="dxa"/>
            <w:vAlign w:val="center"/>
          </w:tcPr>
          <w:p>
            <w:pPr>
              <w:jc w:val="center"/>
              <w:rPr>
                <w:sz w:val="21"/>
                <w:szCs w:val="21"/>
              </w:rPr>
            </w:pPr>
            <w:r>
              <w:rPr>
                <w:sz w:val="21"/>
                <w:szCs w:val="21"/>
              </w:rPr>
              <w:t>26.79</w:t>
            </w:r>
            <w:bookmarkStart w:id="59" w:name="OLE_LINK35"/>
            <w:bookmarkEnd w:id="59"/>
          </w:p>
        </w:tc>
        <w:tc>
          <w:tcPr>
            <w:tcW w:w="2074" w:type="dxa"/>
            <w:vAlign w:val="center"/>
          </w:tcPr>
          <w:p>
            <w:pPr>
              <w:jc w:val="center"/>
              <w:rPr>
                <w:sz w:val="21"/>
                <w:szCs w:val="21"/>
              </w:rPr>
            </w:pPr>
            <w:r>
              <w:rPr>
                <w:sz w:val="21"/>
                <w:szCs w:val="21"/>
              </w:rPr>
              <w:t>5</w:t>
            </w:r>
          </w:p>
        </w:tc>
        <w:tc>
          <w:tcPr>
            <w:tcW w:w="1925" w:type="dxa"/>
            <w:vAlign w:val="center"/>
          </w:tcPr>
          <w:p>
            <w:pPr>
              <w:jc w:val="center"/>
              <w:rPr>
                <w:sz w:val="21"/>
                <w:szCs w:val="21"/>
              </w:rPr>
            </w:pPr>
            <w:r>
              <w:rPr>
                <w:sz w:val="21"/>
                <w:szCs w:val="21"/>
              </w:rPr>
              <w:t>15.15</w:t>
            </w:r>
            <w:bookmarkStart w:id="60" w:name="OLE_LINK37"/>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1</w:t>
            </w:r>
          </w:p>
        </w:tc>
        <w:tc>
          <w:tcPr>
            <w:tcW w:w="1628" w:type="dxa"/>
            <w:vAlign w:val="center"/>
          </w:tcPr>
          <w:p>
            <w:pPr>
              <w:jc w:val="center"/>
              <w:rPr>
                <w:sz w:val="21"/>
                <w:szCs w:val="21"/>
              </w:rPr>
            </w:pPr>
            <w:r>
              <w:rPr>
                <w:sz w:val="21"/>
                <w:szCs w:val="21"/>
              </w:rPr>
              <w:t>0.89</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1" w:name="OLE_LINK38"/>
            <w:bookmarkEnd w:id="61"/>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62" w:name="OLE_LINK39"/>
      <w:r>
        <w:rPr>
          <w:rFonts w:ascii="宋体" w:hAnsi="宋体" w:eastAsia="宋体" w:cstheme="minorBidi"/>
          <w:b w:val="0"/>
          <w:bCs w:val="0"/>
          <w:kern w:val="2"/>
          <w:sz w:val="24"/>
          <w:szCs w:val="24"/>
        </w:rPr>
        <w:t>年龄</w:t>
      </w:r>
      <w:bookmarkEnd w:id="62"/>
      <w:r>
        <w:rPr>
          <w:rFonts w:ascii="宋体" w:hAnsi="宋体" w:eastAsia="宋体" w:cstheme="minorBidi"/>
          <w:b w:val="0"/>
          <w:bCs w:val="0"/>
          <w:kern w:val="2"/>
          <w:sz w:val="24"/>
          <w:szCs w:val="24"/>
        </w:rPr>
        <w:t>情况分析</w:t>
      </w:r>
    </w:p>
    <w:p>
      <w:pPr>
        <w:spacing w:line="360" w:lineRule="auto"/>
        <w:ind w:firstLine="480" w:firstLineChars="200"/>
      </w:pPr>
      <w:r>
        <w:t>专业课校内授课教师</w:t>
      </w:r>
      <w:r>
        <w:rPr>
          <w:rFonts w:hint="eastAsia"/>
        </w:rPr>
        <w:t>共1</w:t>
      </w:r>
      <w:r>
        <w:t>12</w:t>
      </w:r>
      <w:r>
        <w:rPr>
          <w:rFonts w:hint="eastAsia"/>
        </w:rPr>
        <w:t>人，其中</w:t>
      </w:r>
      <w:r>
        <w:t>年龄</w:t>
      </w:r>
      <w:r>
        <w:rPr>
          <w:rFonts w:hint="eastAsia"/>
        </w:rPr>
        <w:t>为35岁及以下的为16人，36-45岁的为5</w:t>
      </w:r>
      <w:r>
        <w:t>8</w:t>
      </w:r>
      <w:r>
        <w:rPr>
          <w:rFonts w:hint="eastAsia"/>
        </w:rPr>
        <w:t>人，46-55岁的为</w:t>
      </w:r>
      <w:r>
        <w:t>34</w:t>
      </w:r>
      <w:r>
        <w:rPr>
          <w:rFonts w:hint="eastAsia"/>
        </w:rPr>
        <w:t>人，56岁及以上的4人。核心课授课教师共</w:t>
      </w:r>
      <w:r>
        <w:t>33</w:t>
      </w:r>
      <w:r>
        <w:rPr>
          <w:rFonts w:hint="eastAsia"/>
        </w:rPr>
        <w:t>人，其中35岁及以下的为6人，36-45岁的为</w:t>
      </w:r>
      <w:r>
        <w:t>25</w:t>
      </w:r>
      <w:r>
        <w:rPr>
          <w:rFonts w:hint="eastAsia"/>
        </w:rPr>
        <w:t>人，46-55岁的为1</w:t>
      </w:r>
      <w:r>
        <w:t>0</w:t>
      </w:r>
      <w:r>
        <w:rPr>
          <w:rFonts w:hint="eastAsia"/>
        </w:rPr>
        <w:t>人，56岁及以上的</w:t>
      </w:r>
      <w:r>
        <w:t>2</w:t>
      </w:r>
      <w:r>
        <w:rPr>
          <w:rFonts w:hint="eastAsia"/>
        </w:rPr>
        <w:t>人。</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center"/>
              <w:rPr>
                <w:sz w:val="21"/>
                <w:szCs w:val="21"/>
              </w:rPr>
            </w:pPr>
            <w:r>
              <w:rPr>
                <w:sz w:val="21"/>
                <w:szCs w:val="21"/>
              </w:rPr>
              <w:t>16</w:t>
            </w:r>
          </w:p>
        </w:tc>
        <w:tc>
          <w:tcPr>
            <w:tcW w:w="1754" w:type="dxa"/>
            <w:vAlign w:val="center"/>
          </w:tcPr>
          <w:p>
            <w:pPr>
              <w:jc w:val="center"/>
              <w:rPr>
                <w:sz w:val="21"/>
                <w:szCs w:val="21"/>
              </w:rPr>
            </w:pPr>
            <w:r>
              <w:rPr>
                <w:sz w:val="21"/>
                <w:szCs w:val="21"/>
              </w:rPr>
              <w:t>14.29</w:t>
            </w:r>
          </w:p>
        </w:tc>
        <w:tc>
          <w:tcPr>
            <w:tcW w:w="1916" w:type="dxa"/>
            <w:vAlign w:val="center"/>
          </w:tcPr>
          <w:p>
            <w:pPr>
              <w:jc w:val="center"/>
              <w:rPr>
                <w:sz w:val="21"/>
                <w:szCs w:val="21"/>
              </w:rPr>
            </w:pPr>
            <w:r>
              <w:rPr>
                <w:sz w:val="21"/>
                <w:szCs w:val="21"/>
              </w:rPr>
              <w:t>6</w:t>
            </w:r>
          </w:p>
        </w:tc>
        <w:tc>
          <w:tcPr>
            <w:tcW w:w="2078" w:type="dxa"/>
            <w:vAlign w:val="center"/>
          </w:tcPr>
          <w:p>
            <w:pPr>
              <w:jc w:val="center"/>
              <w:rPr>
                <w:sz w:val="21"/>
                <w:szCs w:val="21"/>
              </w:rPr>
            </w:pPr>
            <w:r>
              <w:rPr>
                <w:sz w:val="21"/>
                <w:szCs w:val="21"/>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center"/>
              <w:rPr>
                <w:sz w:val="21"/>
                <w:szCs w:val="21"/>
              </w:rPr>
            </w:pPr>
            <w:r>
              <w:rPr>
                <w:sz w:val="21"/>
                <w:szCs w:val="21"/>
              </w:rPr>
              <w:t>58</w:t>
            </w:r>
          </w:p>
        </w:tc>
        <w:tc>
          <w:tcPr>
            <w:tcW w:w="1754" w:type="dxa"/>
            <w:vAlign w:val="center"/>
          </w:tcPr>
          <w:p>
            <w:pPr>
              <w:jc w:val="center"/>
              <w:rPr>
                <w:sz w:val="21"/>
                <w:szCs w:val="21"/>
              </w:rPr>
            </w:pPr>
            <w:r>
              <w:rPr>
                <w:sz w:val="21"/>
                <w:szCs w:val="21"/>
              </w:rPr>
              <w:t>51.79</w:t>
            </w:r>
          </w:p>
        </w:tc>
        <w:tc>
          <w:tcPr>
            <w:tcW w:w="1916" w:type="dxa"/>
            <w:vAlign w:val="center"/>
          </w:tcPr>
          <w:p>
            <w:pPr>
              <w:jc w:val="center"/>
              <w:rPr>
                <w:sz w:val="21"/>
                <w:szCs w:val="21"/>
              </w:rPr>
            </w:pPr>
            <w:r>
              <w:rPr>
                <w:sz w:val="21"/>
                <w:szCs w:val="21"/>
              </w:rPr>
              <w:t>15</w:t>
            </w:r>
          </w:p>
        </w:tc>
        <w:tc>
          <w:tcPr>
            <w:tcW w:w="2078" w:type="dxa"/>
            <w:vAlign w:val="center"/>
          </w:tcPr>
          <w:p>
            <w:pPr>
              <w:jc w:val="center"/>
              <w:rPr>
                <w:sz w:val="21"/>
                <w:szCs w:val="21"/>
              </w:rPr>
            </w:pPr>
            <w:r>
              <w:rPr>
                <w:sz w:val="21"/>
                <w:szCs w:val="21"/>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center"/>
              <w:rPr>
                <w:sz w:val="21"/>
                <w:szCs w:val="21"/>
              </w:rPr>
            </w:pPr>
            <w:r>
              <w:rPr>
                <w:sz w:val="21"/>
                <w:szCs w:val="21"/>
              </w:rPr>
              <w:t>34</w:t>
            </w:r>
          </w:p>
        </w:tc>
        <w:tc>
          <w:tcPr>
            <w:tcW w:w="1754" w:type="dxa"/>
            <w:vAlign w:val="center"/>
          </w:tcPr>
          <w:p>
            <w:pPr>
              <w:jc w:val="center"/>
              <w:rPr>
                <w:sz w:val="21"/>
                <w:szCs w:val="21"/>
              </w:rPr>
            </w:pPr>
            <w:r>
              <w:rPr>
                <w:sz w:val="21"/>
                <w:szCs w:val="21"/>
              </w:rPr>
              <w:t>30.36</w:t>
            </w:r>
          </w:p>
        </w:tc>
        <w:tc>
          <w:tcPr>
            <w:tcW w:w="1916" w:type="dxa"/>
            <w:vAlign w:val="center"/>
          </w:tcPr>
          <w:p>
            <w:pPr>
              <w:jc w:val="center"/>
              <w:rPr>
                <w:sz w:val="21"/>
                <w:szCs w:val="21"/>
              </w:rPr>
            </w:pPr>
            <w:r>
              <w:rPr>
                <w:sz w:val="21"/>
                <w:szCs w:val="21"/>
              </w:rPr>
              <w:t>10</w:t>
            </w:r>
          </w:p>
        </w:tc>
        <w:tc>
          <w:tcPr>
            <w:tcW w:w="2078" w:type="dxa"/>
            <w:vAlign w:val="center"/>
          </w:tcPr>
          <w:p>
            <w:pPr>
              <w:jc w:val="center"/>
              <w:rPr>
                <w:sz w:val="21"/>
                <w:szCs w:val="21"/>
              </w:rPr>
            </w:pPr>
            <w:r>
              <w:rPr>
                <w:sz w:val="21"/>
                <w:szCs w:val="21"/>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center"/>
              <w:rPr>
                <w:sz w:val="21"/>
                <w:szCs w:val="21"/>
              </w:rPr>
            </w:pPr>
            <w:r>
              <w:rPr>
                <w:sz w:val="21"/>
                <w:szCs w:val="21"/>
              </w:rPr>
              <w:t>4</w:t>
            </w:r>
          </w:p>
        </w:tc>
        <w:tc>
          <w:tcPr>
            <w:tcW w:w="1754" w:type="dxa"/>
            <w:vAlign w:val="center"/>
          </w:tcPr>
          <w:p>
            <w:pPr>
              <w:jc w:val="center"/>
              <w:rPr>
                <w:sz w:val="21"/>
                <w:szCs w:val="21"/>
              </w:rPr>
            </w:pPr>
            <w:r>
              <w:rPr>
                <w:sz w:val="21"/>
                <w:szCs w:val="21"/>
              </w:rPr>
              <w:t>3.57</w:t>
            </w:r>
          </w:p>
        </w:tc>
        <w:tc>
          <w:tcPr>
            <w:tcW w:w="1916" w:type="dxa"/>
            <w:vAlign w:val="center"/>
          </w:tcPr>
          <w:p>
            <w:pPr>
              <w:jc w:val="center"/>
              <w:rPr>
                <w:sz w:val="21"/>
                <w:szCs w:val="21"/>
              </w:rPr>
            </w:pPr>
            <w:r>
              <w:rPr>
                <w:sz w:val="21"/>
                <w:szCs w:val="21"/>
              </w:rPr>
              <w:t>2</w:t>
            </w:r>
          </w:p>
        </w:tc>
        <w:tc>
          <w:tcPr>
            <w:tcW w:w="2078" w:type="dxa"/>
            <w:vAlign w:val="center"/>
          </w:tcPr>
          <w:p>
            <w:pPr>
              <w:jc w:val="center"/>
              <w:rPr>
                <w:sz w:val="21"/>
                <w:szCs w:val="21"/>
              </w:rPr>
            </w:pPr>
            <w:r>
              <w:rPr>
                <w:sz w:val="21"/>
                <w:szCs w:val="21"/>
              </w:rPr>
              <w:t>6.06</w:t>
            </w:r>
            <w:bookmarkStart w:id="63" w:name="OLE_LINK40"/>
            <w:bookmarkEnd w:id="63"/>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p>
      <w:pPr>
        <w:spacing w:line="360" w:lineRule="auto"/>
        <w:ind w:firstLine="480" w:firstLineChars="200"/>
      </w:pPr>
      <w:r>
        <w:t>专业课校内授课教师</w:t>
      </w:r>
      <w:r>
        <w:rPr>
          <w:rFonts w:hint="eastAsia"/>
        </w:rPr>
        <w:t>本专业的为</w:t>
      </w:r>
      <w:r>
        <w:t>12</w:t>
      </w:r>
      <w:r>
        <w:rPr>
          <w:rFonts w:hint="eastAsia"/>
        </w:rPr>
        <w:t>人，本学院外专业</w:t>
      </w:r>
      <w:r>
        <w:t>62</w:t>
      </w:r>
      <w:r>
        <w:rPr>
          <w:rFonts w:hint="eastAsia"/>
        </w:rPr>
        <w:t>人，校内其他单位为3</w:t>
      </w:r>
      <w:r>
        <w:t>8</w:t>
      </w:r>
      <w:r>
        <w:rPr>
          <w:rFonts w:hint="eastAsia"/>
        </w:rPr>
        <w:t>人。</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本专业</w:t>
            </w:r>
          </w:p>
        </w:tc>
        <w:tc>
          <w:tcPr>
            <w:tcW w:w="1643" w:type="dxa"/>
            <w:vAlign w:val="center"/>
          </w:tcPr>
          <w:p>
            <w:pPr>
              <w:jc w:val="center"/>
              <w:rPr>
                <w:sz w:val="21"/>
                <w:szCs w:val="21"/>
              </w:rPr>
            </w:pPr>
            <w:r>
              <w:rPr>
                <w:sz w:val="21"/>
                <w:szCs w:val="21"/>
              </w:rPr>
              <w:t>12</w:t>
            </w:r>
          </w:p>
        </w:tc>
        <w:tc>
          <w:tcPr>
            <w:tcW w:w="1786" w:type="dxa"/>
            <w:vAlign w:val="center"/>
          </w:tcPr>
          <w:p>
            <w:pPr>
              <w:jc w:val="center"/>
              <w:rPr>
                <w:sz w:val="21"/>
                <w:szCs w:val="21"/>
              </w:rPr>
            </w:pPr>
            <w:r>
              <w:rPr>
                <w:sz w:val="21"/>
                <w:szCs w:val="21"/>
              </w:rPr>
              <w:t>10.71</w:t>
            </w:r>
          </w:p>
        </w:tc>
        <w:tc>
          <w:tcPr>
            <w:tcW w:w="1929" w:type="dxa"/>
            <w:vAlign w:val="center"/>
          </w:tcPr>
          <w:p>
            <w:pPr>
              <w:jc w:val="center"/>
              <w:rPr>
                <w:sz w:val="21"/>
                <w:szCs w:val="21"/>
              </w:rPr>
            </w:pPr>
            <w:r>
              <w:rPr>
                <w:sz w:val="21"/>
                <w:szCs w:val="21"/>
              </w:rPr>
              <w:t>6</w:t>
            </w:r>
            <w:bookmarkStart w:id="64" w:name="OLE_LINK41"/>
            <w:bookmarkEnd w:id="64"/>
          </w:p>
        </w:tc>
        <w:tc>
          <w:tcPr>
            <w:tcW w:w="2071" w:type="dxa"/>
            <w:vAlign w:val="center"/>
          </w:tcPr>
          <w:p>
            <w:pPr>
              <w:jc w:val="center"/>
              <w:rPr>
                <w:sz w:val="21"/>
                <w:szCs w:val="21"/>
              </w:rPr>
            </w:pPr>
            <w:r>
              <w:rPr>
                <w:sz w:val="21"/>
                <w:szCs w:val="21"/>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本学院外专业</w:t>
            </w:r>
          </w:p>
        </w:tc>
        <w:tc>
          <w:tcPr>
            <w:tcW w:w="1643" w:type="dxa"/>
            <w:vAlign w:val="center"/>
          </w:tcPr>
          <w:p>
            <w:pPr>
              <w:jc w:val="center"/>
              <w:rPr>
                <w:sz w:val="21"/>
                <w:szCs w:val="21"/>
              </w:rPr>
            </w:pPr>
            <w:r>
              <w:rPr>
                <w:sz w:val="21"/>
                <w:szCs w:val="21"/>
              </w:rPr>
              <w:t>62</w:t>
            </w:r>
          </w:p>
        </w:tc>
        <w:tc>
          <w:tcPr>
            <w:tcW w:w="1786" w:type="dxa"/>
            <w:vAlign w:val="center"/>
          </w:tcPr>
          <w:p>
            <w:pPr>
              <w:jc w:val="center"/>
              <w:rPr>
                <w:sz w:val="21"/>
                <w:szCs w:val="21"/>
              </w:rPr>
            </w:pPr>
            <w:r>
              <w:rPr>
                <w:sz w:val="21"/>
                <w:szCs w:val="21"/>
              </w:rPr>
              <w:t>55.36</w:t>
            </w:r>
          </w:p>
        </w:tc>
        <w:tc>
          <w:tcPr>
            <w:tcW w:w="1929" w:type="dxa"/>
            <w:vAlign w:val="center"/>
          </w:tcPr>
          <w:p>
            <w:pPr>
              <w:jc w:val="center"/>
              <w:rPr>
                <w:sz w:val="21"/>
                <w:szCs w:val="21"/>
              </w:rPr>
            </w:pPr>
            <w:r>
              <w:rPr>
                <w:sz w:val="21"/>
                <w:szCs w:val="21"/>
              </w:rPr>
              <w:t>25</w:t>
            </w:r>
          </w:p>
        </w:tc>
        <w:tc>
          <w:tcPr>
            <w:tcW w:w="2071" w:type="dxa"/>
            <w:vAlign w:val="center"/>
          </w:tcPr>
          <w:p>
            <w:pPr>
              <w:jc w:val="center"/>
              <w:rPr>
                <w:sz w:val="21"/>
                <w:szCs w:val="21"/>
              </w:rPr>
            </w:pPr>
            <w:r>
              <w:rPr>
                <w:sz w:val="21"/>
                <w:szCs w:val="21"/>
              </w:rPr>
              <w:t>75.76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校内其他单位</w:t>
            </w:r>
          </w:p>
        </w:tc>
        <w:tc>
          <w:tcPr>
            <w:tcW w:w="1643" w:type="dxa"/>
            <w:vAlign w:val="center"/>
          </w:tcPr>
          <w:p>
            <w:pPr>
              <w:jc w:val="center"/>
              <w:rPr>
                <w:sz w:val="21"/>
                <w:szCs w:val="21"/>
              </w:rPr>
            </w:pPr>
            <w:r>
              <w:rPr>
                <w:sz w:val="21"/>
                <w:szCs w:val="21"/>
              </w:rPr>
              <w:t>38</w:t>
            </w:r>
          </w:p>
        </w:tc>
        <w:tc>
          <w:tcPr>
            <w:tcW w:w="1786" w:type="dxa"/>
            <w:vAlign w:val="center"/>
          </w:tcPr>
          <w:p>
            <w:pPr>
              <w:jc w:val="center"/>
              <w:rPr>
                <w:sz w:val="21"/>
                <w:szCs w:val="21"/>
              </w:rPr>
            </w:pPr>
            <w:r>
              <w:rPr>
                <w:sz w:val="21"/>
                <w:szCs w:val="21"/>
              </w:rPr>
              <w:t>33.93</w:t>
            </w:r>
          </w:p>
        </w:tc>
        <w:tc>
          <w:tcPr>
            <w:tcW w:w="1929" w:type="dxa"/>
            <w:vAlign w:val="center"/>
          </w:tcPr>
          <w:p>
            <w:pPr>
              <w:jc w:val="center"/>
              <w:rPr>
                <w:sz w:val="21"/>
                <w:szCs w:val="21"/>
              </w:rPr>
            </w:pPr>
            <w:r>
              <w:rPr>
                <w:sz w:val="21"/>
                <w:szCs w:val="21"/>
              </w:rPr>
              <w:t>2</w:t>
            </w:r>
          </w:p>
        </w:tc>
        <w:tc>
          <w:tcPr>
            <w:tcW w:w="2071" w:type="dxa"/>
            <w:vAlign w:val="center"/>
          </w:tcPr>
          <w:p>
            <w:pPr>
              <w:jc w:val="center"/>
              <w:rPr>
                <w:sz w:val="21"/>
                <w:szCs w:val="21"/>
              </w:rPr>
            </w:pPr>
            <w:r>
              <w:rPr>
                <w:sz w:val="21"/>
                <w:szCs w:val="21"/>
              </w:rPr>
              <w:t>6.06</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p>
      <w:pPr>
        <w:spacing w:line="360" w:lineRule="auto"/>
        <w:ind w:firstLine="480" w:firstLineChars="200"/>
      </w:pPr>
      <w:r>
        <w:t>专业课外聘授课教师</w:t>
      </w:r>
      <w:r>
        <w:rPr>
          <w:rFonts w:hint="eastAsia"/>
        </w:rPr>
        <w:t>为</w:t>
      </w:r>
      <w:r>
        <w:rPr>
          <w:rFonts w:hint="eastAsia"/>
          <w:lang w:val="en-US" w:eastAsia="zh-CN"/>
        </w:rPr>
        <w:t>7</w:t>
      </w:r>
      <w:r>
        <w:rPr>
          <w:rFonts w:hint="eastAsia"/>
        </w:rPr>
        <w:t>名。</w:t>
      </w:r>
    </w:p>
    <w:p/>
    <w:tbl>
      <w:tblPr>
        <w:tblStyle w:val="1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7</w:t>
            </w:r>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65" w:name="OLE_LINK42"/>
            <w:r>
              <w:rPr>
                <w:rFonts w:hint="eastAsia"/>
                <w:sz w:val="21"/>
                <w:szCs w:val="21"/>
              </w:rPr>
              <w:t>职称</w:t>
            </w:r>
            <w:bookmarkEnd w:id="65"/>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6" w:name="OLE_LINK43"/>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7" w:name="OLE_LINK44"/>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4</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4</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4"/>
        <w:rPr>
          <w:rFonts w:ascii="宋体" w:hAnsi="宋体" w:eastAsia="宋体"/>
          <w:b w:val="0"/>
          <w:bCs w:val="0"/>
          <w:sz w:val="24"/>
          <w:szCs w:val="24"/>
        </w:rPr>
      </w:pPr>
      <w:bookmarkStart w:id="68" w:name="_Toc154735781"/>
      <w:r>
        <w:rPr>
          <w:rFonts w:ascii="宋体" w:hAnsi="宋体" w:eastAsia="宋体"/>
          <w:b w:val="0"/>
          <w:bCs w:val="0"/>
          <w:sz w:val="24"/>
          <w:szCs w:val="24"/>
        </w:rPr>
        <w:t>4.3</w:t>
      </w:r>
      <w:bookmarkStart w:id="69" w:name="OLE_LINK45"/>
      <w:r>
        <w:rPr>
          <w:rFonts w:hint="eastAsia" w:ascii="宋体" w:hAnsi="宋体" w:eastAsia="宋体"/>
          <w:b w:val="0"/>
          <w:bCs w:val="0"/>
          <w:sz w:val="24"/>
          <w:szCs w:val="24"/>
        </w:rPr>
        <w:t>教师教学</w:t>
      </w:r>
      <w:bookmarkEnd w:id="69"/>
      <w:r>
        <w:rPr>
          <w:rFonts w:hint="eastAsia" w:ascii="宋体" w:hAnsi="宋体" w:eastAsia="宋体"/>
          <w:b w:val="0"/>
          <w:bCs w:val="0"/>
          <w:sz w:val="24"/>
          <w:szCs w:val="24"/>
        </w:rPr>
        <w:t>科研情况</w:t>
      </w:r>
      <w:bookmarkEnd w:id="68"/>
      <w:r>
        <w:rPr>
          <w:rFonts w:hint="eastAsia" w:ascii="宋体" w:hAnsi="宋体" w:eastAsia="宋体"/>
          <w:b w:val="0"/>
          <w:bCs w:val="0"/>
          <w:sz w:val="24"/>
          <w:szCs w:val="24"/>
        </w:rPr>
        <w:t xml:space="preserve"> </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p>
      <w:pPr>
        <w:spacing w:line="360" w:lineRule="auto"/>
        <w:ind w:firstLine="480" w:firstLineChars="200"/>
      </w:pPr>
      <w:r>
        <w:t>教师主持教育教学改革项目</w:t>
      </w:r>
      <w:r>
        <w:rPr>
          <w:rFonts w:hint="eastAsia"/>
        </w:rPr>
        <w:t>数为0。</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1"/>
              </w:rPr>
              <w:t>类别</w:t>
            </w:r>
          </w:p>
        </w:tc>
        <w:tc>
          <w:tcPr>
            <w:tcW w:w="2552" w:type="dxa"/>
            <w:vAlign w:val="center"/>
          </w:tcPr>
          <w:p>
            <w:pPr>
              <w:jc w:val="center"/>
              <w:rPr>
                <w:sz w:val="21"/>
                <w:szCs w:val="21"/>
              </w:rPr>
            </w:pPr>
            <w:r>
              <w:rPr>
                <w:rFonts w:hint="eastAsia"/>
                <w:sz w:val="21"/>
                <w:szCs w:val="21"/>
              </w:rPr>
              <w:t>项目数</w:t>
            </w:r>
          </w:p>
        </w:tc>
        <w:tc>
          <w:tcPr>
            <w:tcW w:w="1559" w:type="dxa"/>
            <w:vAlign w:val="center"/>
          </w:tcPr>
          <w:p>
            <w:pPr>
              <w:jc w:val="center"/>
              <w:rPr>
                <w:sz w:val="21"/>
                <w:szCs w:val="21"/>
              </w:rPr>
            </w:pPr>
            <w:r>
              <w:rPr>
                <w:rFonts w:hint="eastAsia"/>
                <w:sz w:val="21"/>
                <w:szCs w:val="21"/>
              </w:rPr>
              <w:t>经费（万元）</w:t>
            </w:r>
          </w:p>
        </w:tc>
        <w:tc>
          <w:tcPr>
            <w:tcW w:w="2347" w:type="dxa"/>
            <w:vAlign w:val="center"/>
          </w:tcPr>
          <w:p>
            <w:pPr>
              <w:jc w:val="center"/>
              <w:rPr>
                <w:sz w:val="21"/>
                <w:szCs w:val="21"/>
              </w:rPr>
            </w:pPr>
            <w:r>
              <w:rPr>
                <w:rFonts w:hint="eastAsia"/>
                <w:sz w:val="21"/>
                <w:szCs w:val="21"/>
              </w:rPr>
              <w:t>参与教师数（人次）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2"/>
              </w:rPr>
              <w:t>国家级</w:t>
            </w:r>
          </w:p>
        </w:tc>
        <w:tc>
          <w:tcPr>
            <w:tcW w:w="2552" w:type="dxa"/>
            <w:vAlign w:val="center"/>
          </w:tcPr>
          <w:p>
            <w:pPr>
              <w:jc w:val="center"/>
              <w:rPr>
                <w:sz w:val="21"/>
                <w:szCs w:val="21"/>
              </w:rPr>
            </w:pPr>
            <w:r>
              <w:rPr>
                <w:sz w:val="21"/>
                <w:szCs w:val="21"/>
              </w:rPr>
              <w:t>0</w:t>
            </w:r>
            <w:bookmarkStart w:id="70" w:name="OLE_LINK46"/>
            <w:bookmarkEnd w:id="70"/>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sz w:val="21"/>
                <w:szCs w:val="21"/>
              </w:rPr>
            </w:pPr>
            <w:r>
              <w:rPr>
                <w:rFonts w:hint="eastAsia"/>
                <w:sz w:val="21"/>
                <w:szCs w:val="22"/>
              </w:rPr>
              <w:t>省部级</w:t>
            </w:r>
          </w:p>
        </w:tc>
        <w:tc>
          <w:tcPr>
            <w:tcW w:w="2552" w:type="dxa"/>
            <w:vAlign w:val="center"/>
          </w:tcPr>
          <w:p>
            <w:pPr>
              <w:jc w:val="center"/>
              <w:rPr>
                <w:sz w:val="21"/>
                <w:szCs w:val="21"/>
              </w:rPr>
            </w:pPr>
            <w:r>
              <w:rPr>
                <w:sz w:val="21"/>
                <w:szCs w:val="21"/>
              </w:rPr>
              <w:t>0</w:t>
            </w:r>
          </w:p>
        </w:tc>
        <w:tc>
          <w:tcPr>
            <w:tcW w:w="1559" w:type="dxa"/>
            <w:vAlign w:val="center"/>
          </w:tcPr>
          <w:p>
            <w:pPr>
              <w:jc w:val="center"/>
              <w:rPr>
                <w:sz w:val="21"/>
                <w:szCs w:val="21"/>
              </w:rPr>
            </w:pPr>
            <w:r>
              <w:rPr>
                <w:sz w:val="21"/>
                <w:szCs w:val="21"/>
              </w:rPr>
              <w:t>0</w:t>
            </w:r>
          </w:p>
        </w:tc>
        <w:tc>
          <w:tcPr>
            <w:tcW w:w="2347" w:type="dxa"/>
            <w:vAlign w:val="center"/>
          </w:tcPr>
          <w:p>
            <w:pPr>
              <w:jc w:val="center"/>
              <w:rPr>
                <w:sz w:val="21"/>
                <w:szCs w:val="21"/>
              </w:rPr>
            </w:pPr>
            <w:r>
              <w:rPr>
                <w:sz w:val="21"/>
                <w:szCs w:val="21"/>
              </w:rPr>
              <w:t>0</w:t>
            </w:r>
          </w:p>
        </w:tc>
      </w:tr>
    </w:tbl>
    <w:p>
      <w:pPr>
        <w:shd w:val="clear" w:color="auto" w:fill="FFFFFF"/>
        <w:spacing w:line="360" w:lineRule="auto"/>
        <w:ind w:left="420"/>
        <w:rPr>
          <w:rFonts w:ascii="仿宋" w:hAnsi="仿宋" w:eastAsia="仿宋" w:cstheme="minorBidi"/>
          <w:kern w:val="2"/>
        </w:rPr>
      </w:pPr>
    </w:p>
    <w:p>
      <w:pPr>
        <w:spacing w:line="360" w:lineRule="auto"/>
        <w:ind w:firstLine="480" w:firstLineChars="200"/>
      </w:pPr>
      <w:r>
        <w:rPr>
          <w:rFonts w:hint="eastAsia"/>
        </w:rPr>
        <w:t>202</w:t>
      </w:r>
      <w:r>
        <w:t>3</w:t>
      </w:r>
      <w:r>
        <w:rPr>
          <w:rFonts w:hint="eastAsia"/>
        </w:rPr>
        <w:t>年，专业教师教学研究及改革方面的成果有：</w:t>
      </w:r>
    </w:p>
    <w:p>
      <w:pPr>
        <w:spacing w:line="360" w:lineRule="auto"/>
        <w:ind w:firstLine="480" w:firstLineChars="200"/>
      </w:pPr>
      <w:r>
        <w:rPr>
          <w:rFonts w:hint="eastAsia"/>
        </w:rPr>
        <w:t>王丹主持碳排放权交易省部共建协同创新中心委托教材项目《碳汇理论与案例》；</w:t>
      </w:r>
    </w:p>
    <w:p>
      <w:pPr>
        <w:spacing w:line="360" w:lineRule="auto"/>
        <w:ind w:firstLine="480" w:firstLineChars="200"/>
      </w:pPr>
      <w:r>
        <w:rPr>
          <w:rFonts w:hint="eastAsia"/>
        </w:rPr>
        <w:t>李芊蕾，梁巧玲，畅童娜 《外贸交易磋商与履约实习》在第十五届全国商科教育实践教学大赛中，课程建设实践教学方案设计大赛中获三等奖。</w:t>
      </w:r>
    </w:p>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p>
      <w:pPr>
        <w:shd w:val="clear" w:color="auto" w:fill="FFFFFF"/>
        <w:spacing w:line="360" w:lineRule="auto"/>
        <w:ind w:firstLine="480" w:firstLineChars="200"/>
      </w:pPr>
      <w:r>
        <w:rPr>
          <w:rFonts w:hint="eastAsia"/>
        </w:rPr>
        <w:t>国际经济与贸易专业十分重视教材建设。历年来本专业教师针对学生的特点和人才培养的需要，撰写出版和修订再版了教材</w:t>
      </w:r>
      <w:r>
        <w:t>7</w:t>
      </w:r>
      <w:r>
        <w:rPr>
          <w:rFonts w:hint="eastAsia"/>
        </w:rPr>
        <w:t>本（中国社会科学出版社、清华大学出版社等），并将其应用到教学过程之中，有力地促进了专业教学。</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sz w:val="21"/>
                <w:szCs w:val="21"/>
              </w:rPr>
            </w:pPr>
            <w:r>
              <w:rPr>
                <w:rFonts w:hint="eastAsia"/>
                <w:sz w:val="21"/>
                <w:szCs w:val="21"/>
              </w:rPr>
              <w:t>教师姓名</w:t>
            </w:r>
          </w:p>
        </w:tc>
        <w:tc>
          <w:tcPr>
            <w:tcW w:w="2410" w:type="dxa"/>
          </w:tcPr>
          <w:p>
            <w:pPr>
              <w:jc w:val="center"/>
              <w:rPr>
                <w:sz w:val="21"/>
                <w:szCs w:val="21"/>
              </w:rPr>
            </w:pPr>
            <w:r>
              <w:rPr>
                <w:rFonts w:hint="eastAsia"/>
                <w:sz w:val="21"/>
                <w:szCs w:val="21"/>
              </w:rPr>
              <w:t>教材名称</w:t>
            </w:r>
          </w:p>
        </w:tc>
        <w:tc>
          <w:tcPr>
            <w:tcW w:w="2410" w:type="dxa"/>
          </w:tcPr>
          <w:p>
            <w:pPr>
              <w:jc w:val="center"/>
              <w:rPr>
                <w:sz w:val="21"/>
                <w:szCs w:val="21"/>
              </w:rPr>
            </w:pPr>
            <w:r>
              <w:rPr>
                <w:rFonts w:hint="eastAsia"/>
                <w:sz w:val="21"/>
                <w:szCs w:val="21"/>
              </w:rPr>
              <w:t>出版社</w:t>
            </w:r>
          </w:p>
        </w:tc>
        <w:tc>
          <w:tcPr>
            <w:tcW w:w="1701" w:type="dxa"/>
          </w:tcPr>
          <w:p>
            <w:pPr>
              <w:jc w:val="center"/>
              <w:rPr>
                <w:sz w:val="21"/>
                <w:szCs w:val="21"/>
              </w:rPr>
            </w:pPr>
            <w:r>
              <w:rPr>
                <w:rFonts w:hint="eastAsia"/>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6" w:type="dxa"/>
          </w:tcPr>
          <w:p>
            <w:pPr>
              <w:jc w:val="center"/>
            </w:pPr>
            <w:r>
              <w:t>王丹</w:t>
            </w:r>
          </w:p>
        </w:tc>
        <w:tc>
          <w:tcPr>
            <w:tcW w:w="2410" w:type="dxa"/>
          </w:tcPr>
          <w:p>
            <w:pPr>
              <w:jc w:val="center"/>
            </w:pPr>
            <w:r>
              <w:t>碳排放核算方法学</w:t>
            </w:r>
          </w:p>
        </w:tc>
        <w:tc>
          <w:tcPr>
            <w:tcW w:w="2410" w:type="dxa"/>
          </w:tcPr>
          <w:p>
            <w:pPr>
              <w:jc w:val="center"/>
            </w:pPr>
            <w:r>
              <w:t>中国社会科学出版社</w:t>
            </w:r>
          </w:p>
        </w:tc>
        <w:tc>
          <w:tcPr>
            <w:tcW w:w="1701" w:type="dxa"/>
          </w:tcPr>
          <w:p>
            <w:pPr>
              <w:jc w:val="center"/>
            </w:pPr>
            <w: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96" w:type="dxa"/>
            <w:vAlign w:val="center"/>
          </w:tcPr>
          <w:p>
            <w:pPr>
              <w:jc w:val="center"/>
            </w:pPr>
            <w:bookmarkStart w:id="71" w:name="_Hlk160647555"/>
            <w:r>
              <w:t>黄新祥</w:t>
            </w:r>
          </w:p>
        </w:tc>
        <w:tc>
          <w:tcPr>
            <w:tcW w:w="2410" w:type="dxa"/>
            <w:vAlign w:val="center"/>
          </w:tcPr>
          <w:p>
            <w:pPr>
              <w:jc w:val="center"/>
            </w:pPr>
            <w:r>
              <w:t>国际物流</w:t>
            </w:r>
            <w:r>
              <w:rPr>
                <w:rFonts w:hint="eastAsia"/>
              </w:rPr>
              <w:t>（第二版）</w:t>
            </w:r>
          </w:p>
        </w:tc>
        <w:tc>
          <w:tcPr>
            <w:tcW w:w="2410" w:type="dxa"/>
            <w:vAlign w:val="center"/>
          </w:tcPr>
          <w:p>
            <w:pPr>
              <w:jc w:val="center"/>
            </w:pPr>
            <w:r>
              <w:rPr>
                <w:rFonts w:hint="eastAsia"/>
              </w:rPr>
              <w:t>清华大学出版社</w:t>
            </w:r>
          </w:p>
        </w:tc>
        <w:tc>
          <w:tcPr>
            <w:tcW w:w="1701" w:type="dxa"/>
            <w:vAlign w:val="center"/>
          </w:tcPr>
          <w:p>
            <w:pPr>
              <w:jc w:val="center"/>
            </w:pPr>
            <w:r>
              <w:t>2020.11</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96" w:type="dxa"/>
          </w:tcPr>
          <w:p>
            <w:pPr>
              <w:jc w:val="center"/>
            </w:pPr>
            <w:r>
              <w:rPr>
                <w:rFonts w:hint="eastAsia"/>
              </w:rPr>
              <w:t>邓业建</w:t>
            </w:r>
          </w:p>
        </w:tc>
        <w:tc>
          <w:tcPr>
            <w:tcW w:w="2410" w:type="dxa"/>
          </w:tcPr>
          <w:p>
            <w:pPr>
              <w:jc w:val="center"/>
            </w:pPr>
            <w:r>
              <w:rPr>
                <w:rFonts w:hint="eastAsia"/>
              </w:rPr>
              <w:t>国际服务外包</w:t>
            </w:r>
          </w:p>
        </w:tc>
        <w:tc>
          <w:tcPr>
            <w:tcW w:w="2410" w:type="dxa"/>
          </w:tcPr>
          <w:p>
            <w:pPr>
              <w:jc w:val="center"/>
            </w:pPr>
            <w:r>
              <w:rPr>
                <w:rFonts w:hint="eastAsia"/>
              </w:rPr>
              <w:t>清华大学出版社</w:t>
            </w:r>
          </w:p>
        </w:tc>
        <w:tc>
          <w:tcPr>
            <w:tcW w:w="1701" w:type="dxa"/>
          </w:tcPr>
          <w:p>
            <w:pPr>
              <w:jc w:val="center"/>
            </w:pPr>
            <w:r>
              <w:rPr>
                <w:rFonts w:hint="eastAsia"/>
              </w:rPr>
              <w:t>2015.2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张磊、黄新向、李芊蕾</w:t>
            </w:r>
          </w:p>
        </w:tc>
        <w:tc>
          <w:tcPr>
            <w:tcW w:w="2410" w:type="dxa"/>
          </w:tcPr>
          <w:p>
            <w:pPr>
              <w:jc w:val="center"/>
            </w:pPr>
            <w:r>
              <w:rPr>
                <w:rFonts w:hint="eastAsia"/>
              </w:rPr>
              <w:t>进出口贸易实务</w:t>
            </w:r>
          </w:p>
        </w:tc>
        <w:tc>
          <w:tcPr>
            <w:tcW w:w="2410" w:type="dxa"/>
          </w:tcPr>
          <w:p>
            <w:pPr>
              <w:jc w:val="center"/>
            </w:pPr>
            <w:r>
              <w:rPr>
                <w:rFonts w:hint="eastAsia"/>
              </w:rPr>
              <w:t>同济大学出版社</w:t>
            </w:r>
          </w:p>
        </w:tc>
        <w:tc>
          <w:tcPr>
            <w:tcW w:w="1701" w:type="dxa"/>
          </w:tcPr>
          <w:p>
            <w:pPr>
              <w:jc w:val="center"/>
            </w:pPr>
            <w:r>
              <w:rPr>
                <w:rFonts w:hint="eastAsia"/>
              </w:rPr>
              <w:t>2</w:t>
            </w:r>
            <w:r>
              <w:t>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rPr>
                <w:rFonts w:hint="eastAsia"/>
              </w:rPr>
              <w:t>黄新祥</w:t>
            </w:r>
          </w:p>
        </w:tc>
        <w:tc>
          <w:tcPr>
            <w:tcW w:w="2410" w:type="dxa"/>
          </w:tcPr>
          <w:p>
            <w:pPr>
              <w:jc w:val="center"/>
            </w:pPr>
            <w:r>
              <w:rPr>
                <w:rFonts w:hint="eastAsia"/>
              </w:rPr>
              <w:t>供应链管理</w:t>
            </w:r>
          </w:p>
        </w:tc>
        <w:tc>
          <w:tcPr>
            <w:tcW w:w="2410" w:type="dxa"/>
          </w:tcPr>
          <w:p>
            <w:pPr>
              <w:jc w:val="center"/>
            </w:pPr>
            <w:r>
              <w:rPr>
                <w:rFonts w:hint="eastAsia"/>
              </w:rPr>
              <w:t>清华大学出版社</w:t>
            </w:r>
          </w:p>
        </w:tc>
        <w:tc>
          <w:tcPr>
            <w:tcW w:w="1701" w:type="dxa"/>
          </w:tcPr>
          <w:p>
            <w:pPr>
              <w:jc w:val="center"/>
            </w:pPr>
            <w:r>
              <w:rPr>
                <w:rFonts w:hint="eastAsia"/>
              </w:rPr>
              <w:t>2</w:t>
            </w:r>
            <w: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96" w:type="dxa"/>
            <w:vAlign w:val="center"/>
          </w:tcPr>
          <w:p>
            <w:pPr>
              <w:jc w:val="center"/>
            </w:pPr>
            <w:r>
              <w:t>黄新祥</w:t>
            </w:r>
          </w:p>
        </w:tc>
        <w:tc>
          <w:tcPr>
            <w:tcW w:w="2410" w:type="dxa"/>
            <w:vAlign w:val="center"/>
          </w:tcPr>
          <w:p>
            <w:pPr>
              <w:jc w:val="center"/>
            </w:pPr>
            <w:r>
              <w:t>国际物流</w:t>
            </w:r>
          </w:p>
        </w:tc>
        <w:tc>
          <w:tcPr>
            <w:tcW w:w="2410" w:type="dxa"/>
            <w:vAlign w:val="center"/>
          </w:tcPr>
          <w:p>
            <w:pPr>
              <w:jc w:val="center"/>
            </w:pPr>
            <w:r>
              <w:rPr>
                <w:rFonts w:hint="eastAsia"/>
              </w:rPr>
              <w:t>清华大学出版社</w:t>
            </w:r>
          </w:p>
        </w:tc>
        <w:tc>
          <w:tcPr>
            <w:tcW w:w="1701" w:type="dxa"/>
            <w:vAlign w:val="center"/>
          </w:tcPr>
          <w:p>
            <w:pPr>
              <w:jc w:val="center"/>
            </w:pPr>
            <w:r>
              <w:t>2015.2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rPr>
                <w:rFonts w:hint="eastAsia"/>
              </w:rPr>
              <w:t>张磊</w:t>
            </w:r>
          </w:p>
        </w:tc>
        <w:tc>
          <w:tcPr>
            <w:tcW w:w="2410" w:type="dxa"/>
          </w:tcPr>
          <w:p>
            <w:pPr>
              <w:jc w:val="center"/>
            </w:pPr>
            <w:r>
              <w:rPr>
                <w:rFonts w:hint="eastAsia"/>
              </w:rPr>
              <w:t>物流信息技术</w:t>
            </w:r>
          </w:p>
        </w:tc>
        <w:tc>
          <w:tcPr>
            <w:tcW w:w="2410" w:type="dxa"/>
          </w:tcPr>
          <w:p>
            <w:pPr>
              <w:jc w:val="center"/>
            </w:pPr>
            <w:r>
              <w:rPr>
                <w:rFonts w:hint="eastAsia"/>
              </w:rPr>
              <w:t>清华大学出版社</w:t>
            </w:r>
          </w:p>
        </w:tc>
        <w:tc>
          <w:tcPr>
            <w:tcW w:w="1701" w:type="dxa"/>
          </w:tcPr>
          <w:p>
            <w:pPr>
              <w:jc w:val="center"/>
            </w:pPr>
            <w:r>
              <w:rPr>
                <w:rFonts w:hint="eastAsia"/>
              </w:rPr>
              <w:t>2</w:t>
            </w:r>
            <w:r>
              <w:t>008.11</w:t>
            </w:r>
          </w:p>
        </w:tc>
      </w:tr>
    </w:tbl>
    <w:p/>
    <w:p>
      <w:pPr>
        <w:pStyle w:val="5"/>
        <w:rPr>
          <w:rFonts w:ascii="宋体" w:hAnsi="宋体" w:eastAsia="宋体" w:cstheme="minorBidi"/>
          <w:b w:val="0"/>
          <w:bCs w:val="0"/>
          <w:kern w:val="2"/>
          <w:sz w:val="24"/>
          <w:szCs w:val="24"/>
        </w:rPr>
      </w:pPr>
      <w:r>
        <w:rPr>
          <w:rFonts w:hint="eastAsia" w:ascii="宋体" w:hAnsi="宋体" w:eastAsia="宋体" w:cstheme="minorBidi"/>
          <w:b w:val="0"/>
          <w:bCs w:val="0"/>
          <w:kern w:val="2"/>
          <w:sz w:val="24"/>
          <w:szCs w:val="24"/>
        </w:rPr>
        <w:t>4</w:t>
      </w:r>
      <w:r>
        <w:rPr>
          <w:rFonts w:ascii="宋体" w:hAnsi="宋体" w:eastAsia="宋体" w:cstheme="minorBidi"/>
          <w:b w:val="0"/>
          <w:bCs w:val="0"/>
          <w:kern w:val="2"/>
          <w:sz w:val="24"/>
          <w:szCs w:val="24"/>
        </w:rPr>
        <w:t xml:space="preserve">.3.3 </w:t>
      </w:r>
      <w:r>
        <w:rPr>
          <w:rFonts w:hint="eastAsia" w:ascii="宋体" w:hAnsi="宋体" w:eastAsia="宋体" w:cstheme="minorBidi"/>
          <w:b w:val="0"/>
          <w:bCs w:val="0"/>
          <w:kern w:val="2"/>
          <w:sz w:val="24"/>
          <w:szCs w:val="24"/>
        </w:rPr>
        <w:t>教师科研情况</w:t>
      </w:r>
    </w:p>
    <w:p>
      <w:pPr>
        <w:shd w:val="clear" w:color="auto" w:fill="FFFFFF"/>
        <w:spacing w:line="360" w:lineRule="auto"/>
        <w:ind w:firstLine="420" w:firstLineChars="175"/>
      </w:pPr>
      <w:r>
        <w:rPr>
          <w:rFonts w:hint="eastAsia"/>
        </w:rPr>
        <w:t>本学年教师取得的代表性科研成果有：</w:t>
      </w:r>
    </w:p>
    <w:p>
      <w:pPr>
        <w:spacing w:line="360" w:lineRule="auto"/>
        <w:ind w:firstLine="480" w:firstLineChars="200"/>
      </w:pPr>
      <w:r>
        <w:rPr>
          <w:rFonts w:hint="eastAsia"/>
        </w:rPr>
        <w:t>王丹主持2018年国家社科基金后期项目《中国碳排放二维统计核算体系研究（18FTJ002）》</w:t>
      </w:r>
    </w:p>
    <w:p>
      <w:pPr>
        <w:spacing w:line="360" w:lineRule="auto"/>
        <w:ind w:firstLine="480" w:firstLineChars="200"/>
      </w:pPr>
      <w:r>
        <w:rPr>
          <w:rFonts w:hint="eastAsia"/>
        </w:rPr>
        <w:t>王丹主持北京中阳三才数字科技研究院有限公司委托项目《碳市场企业碳排放数据管控中的区块链技术应用前景研究》，2021-2024年</w:t>
      </w:r>
    </w:p>
    <w:p>
      <w:pPr>
        <w:spacing w:line="360" w:lineRule="auto"/>
        <w:ind w:firstLine="480" w:firstLineChars="200"/>
      </w:pPr>
      <w:r>
        <w:rPr>
          <w:rFonts w:hint="eastAsia"/>
        </w:rPr>
        <w:t>黄新</w:t>
      </w:r>
      <w:r>
        <w:t>祥主持中</w:t>
      </w:r>
      <w:bookmarkStart w:id="113" w:name="_GoBack"/>
      <w:bookmarkEnd w:id="113"/>
      <w:r>
        <w:t>国民主同盟上海</w:t>
      </w:r>
      <w:r>
        <w:rPr>
          <w:rFonts w:hint="eastAsia"/>
        </w:rPr>
        <w:t>市</w:t>
      </w:r>
      <w:r>
        <w:t>委员会课题《</w:t>
      </w:r>
      <w:r>
        <w:rPr>
          <w:rFonts w:hint="eastAsia"/>
        </w:rPr>
        <w:t>深化</w:t>
      </w:r>
      <w:r>
        <w:t>自贸</w:t>
      </w:r>
      <w:r>
        <w:rPr>
          <w:rFonts w:hint="eastAsia"/>
        </w:rPr>
        <w:t>试验区</w:t>
      </w:r>
      <w:r>
        <w:t>改革，加快构建更高水平开放型经济新体制》</w:t>
      </w:r>
    </w:p>
    <w:p>
      <w:pPr>
        <w:spacing w:line="360" w:lineRule="auto"/>
        <w:ind w:firstLine="480" w:firstLineChars="200"/>
      </w:pPr>
      <w:r>
        <w:rPr>
          <w:rFonts w:hint="eastAsia"/>
        </w:rPr>
        <w:t>李芊蕾，黄新祥主持上海捷盛汽车技术有限公司《汽车测试以及智能驾驶产业现状及发展趋势研究》，2</w:t>
      </w:r>
      <w:r>
        <w:t>022</w:t>
      </w:r>
      <w:r>
        <w:rPr>
          <w:rFonts w:hint="eastAsia"/>
        </w:rPr>
        <w:t>-</w:t>
      </w:r>
      <w:r>
        <w:t>2025</w:t>
      </w:r>
      <w:r>
        <w:rPr>
          <w:rFonts w:hint="eastAsia"/>
        </w:rPr>
        <w:t>年</w:t>
      </w:r>
    </w:p>
    <w:p>
      <w:pPr>
        <w:spacing w:line="360" w:lineRule="auto"/>
        <w:ind w:firstLine="480" w:firstLineChars="200"/>
      </w:pPr>
      <w:r>
        <w:rPr>
          <w:rFonts w:hint="eastAsia"/>
        </w:rPr>
        <w:t>梁巧玲主持上海提福文化传播有限公司《平台赋能小微企业数字化转型路径研究》，2023年. </w:t>
      </w:r>
    </w:p>
    <w:p>
      <w:pPr>
        <w:spacing w:line="360" w:lineRule="auto"/>
        <w:ind w:firstLine="480" w:firstLineChars="200"/>
      </w:pPr>
      <w:r>
        <w:rPr>
          <w:rFonts w:hint="eastAsia"/>
        </w:rPr>
        <w:t>赵海燕主持绍兴约拿进出口有限公司咨询项目《纺织类进出口公司风险防范策略》，2021—2024年</w:t>
      </w:r>
    </w:p>
    <w:p>
      <w:pPr>
        <w:spacing w:line="360" w:lineRule="auto"/>
        <w:ind w:firstLine="480" w:firstLineChars="200"/>
      </w:pPr>
      <w:r>
        <w:t>赵海燕，An approach in medical diagnosis based on Z-numbers soft set. 2022.8  （SCI论文）</w:t>
      </w:r>
    </w:p>
    <w:p>
      <w:pPr>
        <w:spacing w:line="360" w:lineRule="auto"/>
        <w:ind w:firstLine="480" w:firstLineChars="200"/>
      </w:pPr>
      <w:r>
        <w:rPr>
          <w:rFonts w:hint="eastAsia"/>
        </w:rPr>
        <w:t>梁巧玲，潘星辰，何文举，碳市场对城市绿色发展影响的机理、路径与对策，城市发展研究，2023（6）.（C刊论文，二类）</w:t>
      </w:r>
    </w:p>
    <w:p>
      <w:pPr>
        <w:spacing w:line="360" w:lineRule="auto"/>
        <w:ind w:firstLine="480" w:firstLineChars="200"/>
      </w:pPr>
      <w:r>
        <w:rPr>
          <w:rFonts w:hint="eastAsia"/>
        </w:rPr>
        <w:t>王丹，张丁，ESG表现、制造业高质量发展与数字化转型，统计与决策，2023.19: 172-176.（C刊论文）</w:t>
      </w:r>
    </w:p>
    <w:p>
      <w:pPr>
        <w:spacing w:line="360" w:lineRule="auto"/>
        <w:ind w:firstLine="480" w:firstLineChars="200"/>
      </w:pPr>
      <w:r>
        <w:rPr>
          <w:rFonts w:hint="eastAsia"/>
        </w:rPr>
        <w:t>张磊</w:t>
      </w:r>
      <w:r>
        <w:t>，</w:t>
      </w:r>
      <w:r>
        <w:rPr>
          <w:rFonts w:hint="eastAsia"/>
        </w:rPr>
        <w:t>市场激励型环境规制、环保投资和制造企业绩效，运筹与模糊学,2023.6</w:t>
      </w:r>
      <w:r>
        <w:t xml:space="preserve"> </w:t>
      </w:r>
    </w:p>
    <w:p>
      <w:pPr>
        <w:spacing w:line="360" w:lineRule="auto"/>
        <w:ind w:firstLine="480" w:firstLineChars="200"/>
      </w:pPr>
      <w:r>
        <w:rPr>
          <w:rFonts w:hint="eastAsia"/>
        </w:rPr>
        <w:t>张磊</w:t>
      </w:r>
      <w:r>
        <w:t>，</w:t>
      </w:r>
      <w:r>
        <w:rPr>
          <w:rFonts w:hint="eastAsia"/>
        </w:rPr>
        <w:t>高管纵向兼任对企业费用粘性的影响研究，运筹与模糊学，2023.6</w:t>
      </w:r>
    </w:p>
    <w:p>
      <w:pPr>
        <w:spacing w:line="360" w:lineRule="auto"/>
        <w:ind w:firstLine="480" w:firstLineChars="200"/>
      </w:pPr>
      <w:r>
        <w:rPr>
          <w:rFonts w:hint="eastAsia"/>
        </w:rPr>
        <w:t>张磊</w:t>
      </w:r>
      <w:r>
        <w:t>，</w:t>
      </w:r>
      <w:r>
        <w:rPr>
          <w:rFonts w:hint="eastAsia"/>
        </w:rPr>
        <w:t>政府研发补贴影响出口技术复杂度了吗？生产力研究，2023.12</w:t>
      </w:r>
      <w:r>
        <w:t xml:space="preserve"> </w:t>
      </w:r>
    </w:p>
    <w:p>
      <w:pPr>
        <w:spacing w:line="360" w:lineRule="auto"/>
        <w:ind w:firstLine="480" w:firstLineChars="200"/>
      </w:pPr>
    </w:p>
    <w:p>
      <w:pPr>
        <w:pStyle w:val="3"/>
        <w:pageBreakBefore/>
        <w:spacing w:after="120" w:line="415" w:lineRule="auto"/>
        <w:jc w:val="left"/>
        <w:rPr>
          <w:rFonts w:ascii="宋体" w:hAnsi="宋体"/>
          <w:sz w:val="28"/>
          <w:szCs w:val="28"/>
        </w:rPr>
      </w:pPr>
      <w:bookmarkStart w:id="72" w:name="_Toc154735782"/>
      <w:r>
        <w:rPr>
          <w:rFonts w:ascii="宋体" w:hAnsi="宋体"/>
          <w:sz w:val="28"/>
          <w:szCs w:val="28"/>
        </w:rPr>
        <w:t>5.支持条件</w:t>
      </w:r>
      <w:bookmarkEnd w:id="72"/>
      <w:r>
        <w:rPr>
          <w:rFonts w:ascii="宋体" w:hAnsi="宋体"/>
          <w:sz w:val="28"/>
          <w:szCs w:val="28"/>
        </w:rPr>
        <w:t xml:space="preserve"> </w:t>
      </w:r>
    </w:p>
    <w:p>
      <w:pPr>
        <w:pStyle w:val="4"/>
        <w:rPr>
          <w:rFonts w:ascii="宋体" w:hAnsi="宋体" w:eastAsia="宋体"/>
          <w:b w:val="0"/>
          <w:bCs w:val="0"/>
          <w:sz w:val="24"/>
          <w:szCs w:val="24"/>
        </w:rPr>
      </w:pPr>
      <w:bookmarkStart w:id="73" w:name="_Toc154735783"/>
      <w:r>
        <w:rPr>
          <w:rFonts w:ascii="宋体" w:hAnsi="宋体" w:eastAsia="宋体"/>
          <w:b w:val="0"/>
          <w:bCs w:val="0"/>
          <w:sz w:val="24"/>
          <w:szCs w:val="24"/>
        </w:rPr>
        <w:t>5.1学校生均教学经费情况</w:t>
      </w:r>
      <w:bookmarkEnd w:id="73"/>
    </w:p>
    <w:p>
      <w:pPr>
        <w:spacing w:line="360" w:lineRule="auto"/>
        <w:ind w:firstLine="480" w:firstLineChars="200"/>
      </w:pPr>
      <w:r>
        <w:t>专业教学经费由教学日常运行支出</w:t>
      </w:r>
      <w:r>
        <w:rPr>
          <w:rFonts w:hint="eastAsia"/>
        </w:rPr>
        <w:t>、</w:t>
      </w:r>
      <w:r>
        <w:t>实验经费支出</w:t>
      </w:r>
      <w:r>
        <w:rPr>
          <w:rFonts w:hint="eastAsia"/>
        </w:rPr>
        <w:t>和</w:t>
      </w:r>
      <w:r>
        <w:t>实习经费</w:t>
      </w:r>
      <w:r>
        <w:rPr>
          <w:rFonts w:hint="eastAsia"/>
        </w:rPr>
        <w:t>三</w:t>
      </w:r>
      <w:r>
        <w:t>部分构成。学校每年保证学生的教学经费按时到位，</w:t>
      </w:r>
      <w:r>
        <w:rPr>
          <w:rFonts w:hint="eastAsia"/>
        </w:rPr>
        <w:t>用于</w:t>
      </w:r>
      <w:r>
        <w:t>教学日常运行</w:t>
      </w:r>
      <w:r>
        <w:rPr>
          <w:rFonts w:hint="eastAsia"/>
        </w:rPr>
        <w:t>，</w:t>
      </w:r>
      <w:r>
        <w:t>同时，对于实践环节，划拨专项费用，用以支持学生</w:t>
      </w:r>
      <w:r>
        <w:rPr>
          <w:rFonts w:hint="eastAsia"/>
        </w:rPr>
        <w:t>实验和实习</w:t>
      </w:r>
      <w:r>
        <w:t>等。每学年学校分配给本专业</w:t>
      </w:r>
      <w:r>
        <w:rPr>
          <w:rFonts w:hint="eastAsia"/>
        </w:rPr>
        <w:t>生均教学</w:t>
      </w:r>
      <w:r>
        <w:t>经费约</w:t>
      </w:r>
      <w:r>
        <w:rPr>
          <w:rFonts w:hint="eastAsia"/>
        </w:rPr>
        <w:t>6500</w:t>
      </w:r>
      <w:r>
        <w:t>元，</w:t>
      </w:r>
      <w:r>
        <w:rPr>
          <w:rFonts w:hint="eastAsia"/>
        </w:rPr>
        <w:t>其中，</w:t>
      </w:r>
      <w:r>
        <w:t>生均日常教学经费标准约为506</w:t>
      </w:r>
      <w:r>
        <w:rPr>
          <w:rFonts w:hint="eastAsia"/>
        </w:rPr>
        <w:t>8.5</w:t>
      </w:r>
      <w:r>
        <w:t>元，生均实验经费约为101</w:t>
      </w:r>
      <w:r>
        <w:rPr>
          <w:rFonts w:hint="eastAsia"/>
        </w:rPr>
        <w:t>7.74</w:t>
      </w:r>
      <w:r>
        <w:t>元，生均实习经费约为41</w:t>
      </w:r>
      <w:r>
        <w:rPr>
          <w:rFonts w:hint="eastAsia"/>
        </w:rPr>
        <w:t>0.89</w:t>
      </w:r>
      <w:r>
        <w:t>元，完全可以满足教学需求。</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74" w:name="OLE_LINK47"/>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5" w:name="OLE_LINK48"/>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4"/>
        <w:rPr>
          <w:rFonts w:ascii="宋体" w:hAnsi="宋体" w:eastAsia="宋体"/>
          <w:b w:val="0"/>
          <w:bCs w:val="0"/>
          <w:sz w:val="24"/>
          <w:szCs w:val="24"/>
        </w:rPr>
      </w:pPr>
      <w:bookmarkStart w:id="76" w:name="_Toc154735784"/>
      <w:r>
        <w:rPr>
          <w:rFonts w:ascii="宋体" w:hAnsi="宋体" w:eastAsia="宋体"/>
          <w:b w:val="0"/>
          <w:bCs w:val="0"/>
          <w:sz w:val="24"/>
          <w:szCs w:val="24"/>
        </w:rPr>
        <w:t>5.2支撑专业实验教学校内场所情况</w:t>
      </w:r>
      <w:bookmarkEnd w:id="76"/>
    </w:p>
    <w:p>
      <w:pPr>
        <w:widowControl w:val="0"/>
        <w:spacing w:line="360" w:lineRule="auto"/>
        <w:ind w:firstLine="480" w:firstLineChars="200"/>
      </w:pPr>
      <w:r>
        <w:t>目前</w:t>
      </w:r>
      <w:r>
        <w:rPr>
          <w:rFonts w:hint="eastAsia"/>
        </w:rPr>
        <w:t>专业</w:t>
      </w:r>
      <w:r>
        <w:t>有基础实验室1</w:t>
      </w:r>
      <w:r>
        <w:rPr>
          <w:rFonts w:hint="eastAsia"/>
        </w:rPr>
        <w:t>个</w:t>
      </w:r>
      <w:r>
        <w:t>，承担了2门实验课程</w:t>
      </w:r>
      <w:r>
        <w:rPr>
          <w:rFonts w:hint="eastAsia"/>
        </w:rPr>
        <w:t>，面积为</w:t>
      </w:r>
      <w:r>
        <w:t>144</w:t>
      </w:r>
      <w:r>
        <w:rPr>
          <w:rFonts w:hint="eastAsia"/>
        </w:rPr>
        <w:t>平方米，以满足教学需求</w:t>
      </w:r>
      <w:r>
        <w:t>。</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1"/>
                <w:szCs w:val="21"/>
              </w:rPr>
            </w:pPr>
            <w:r>
              <w:rPr>
                <w:rFonts w:hint="eastAsia"/>
                <w:sz w:val="21"/>
                <w:szCs w:val="21"/>
              </w:rPr>
              <w:t>项目</w:t>
            </w:r>
          </w:p>
        </w:tc>
        <w:tc>
          <w:tcPr>
            <w:tcW w:w="1229" w:type="dxa"/>
            <w:vAlign w:val="center"/>
          </w:tcPr>
          <w:p>
            <w:pPr>
              <w:jc w:val="center"/>
              <w:rPr>
                <w:sz w:val="21"/>
                <w:szCs w:val="21"/>
              </w:rPr>
            </w:pPr>
            <w:r>
              <w:rPr>
                <w:rFonts w:hint="eastAsia"/>
                <w:sz w:val="21"/>
                <w:szCs w:val="21"/>
              </w:rPr>
              <w:t>数量</w:t>
            </w:r>
          </w:p>
        </w:tc>
        <w:tc>
          <w:tcPr>
            <w:tcW w:w="1782" w:type="dxa"/>
            <w:vAlign w:val="center"/>
          </w:tcPr>
          <w:p>
            <w:pPr>
              <w:jc w:val="center"/>
              <w:rPr>
                <w:sz w:val="21"/>
                <w:szCs w:val="21"/>
              </w:rPr>
            </w:pPr>
            <w:r>
              <w:rPr>
                <w:rFonts w:hint="eastAsia"/>
                <w:sz w:val="21"/>
                <w:szCs w:val="21"/>
              </w:rPr>
              <w:t>承担实验课程门数</w:t>
            </w:r>
          </w:p>
        </w:tc>
        <w:tc>
          <w:tcPr>
            <w:tcW w:w="1229" w:type="dxa"/>
            <w:vAlign w:val="center"/>
          </w:tcPr>
          <w:p>
            <w:pPr>
              <w:jc w:val="center"/>
              <w:rPr>
                <w:sz w:val="21"/>
                <w:szCs w:val="21"/>
              </w:rPr>
            </w:pPr>
            <w:r>
              <w:rPr>
                <w:rFonts w:hint="eastAsia"/>
                <w:sz w:val="21"/>
                <w:szCs w:val="21"/>
              </w:rPr>
              <w:t>面积（平方米）</w:t>
            </w:r>
          </w:p>
        </w:tc>
        <w:tc>
          <w:tcPr>
            <w:tcW w:w="1505" w:type="dxa"/>
            <w:vAlign w:val="center"/>
          </w:tcPr>
          <w:p>
            <w:pPr>
              <w:jc w:val="center"/>
              <w:rPr>
                <w:sz w:val="21"/>
                <w:szCs w:val="21"/>
              </w:rPr>
            </w:pPr>
            <w:r>
              <w:rPr>
                <w:rFonts w:hint="eastAsia"/>
                <w:sz w:val="21"/>
                <w:szCs w:val="21"/>
              </w:rPr>
              <w:t>设备台套数</w:t>
            </w:r>
          </w:p>
        </w:tc>
        <w:tc>
          <w:tcPr>
            <w:tcW w:w="1321" w:type="dxa"/>
            <w:vAlign w:val="center"/>
          </w:tcPr>
          <w:p>
            <w:pPr>
              <w:jc w:val="center"/>
              <w:rPr>
                <w:sz w:val="21"/>
                <w:szCs w:val="21"/>
              </w:rPr>
            </w:pPr>
            <w:r>
              <w:rPr>
                <w:rFonts w:hint="eastAsia"/>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szCs w:val="20"/>
              </w:rPr>
              <w:t>专业实验室</w:t>
            </w:r>
          </w:p>
        </w:tc>
        <w:tc>
          <w:tcPr>
            <w:tcW w:w="1229" w:type="dxa"/>
            <w:vAlign w:val="center"/>
          </w:tcPr>
          <w:p>
            <w:pPr>
              <w:jc w:val="center"/>
              <w:rPr>
                <w:sz w:val="20"/>
                <w:szCs w:val="20"/>
              </w:rPr>
            </w:pPr>
            <w:r>
              <w:rPr>
                <w:sz w:val="20"/>
                <w:szCs w:val="20"/>
              </w:rPr>
              <w:t>0</w:t>
            </w:r>
            <w:bookmarkStart w:id="77" w:name="OLE_LINK49"/>
            <w:bookmarkEnd w:id="77"/>
          </w:p>
        </w:tc>
        <w:tc>
          <w:tcPr>
            <w:tcW w:w="1782" w:type="dxa"/>
            <w:vAlign w:val="center"/>
          </w:tcPr>
          <w:p>
            <w:pPr>
              <w:jc w:val="center"/>
              <w:rPr>
                <w:sz w:val="20"/>
                <w:szCs w:val="20"/>
              </w:rPr>
            </w:pPr>
            <w:r>
              <w:rPr>
                <w:sz w:val="20"/>
                <w:szCs w:val="20"/>
              </w:rPr>
              <w:t>0</w:t>
            </w:r>
          </w:p>
        </w:tc>
        <w:tc>
          <w:tcPr>
            <w:tcW w:w="1229" w:type="dxa"/>
            <w:vAlign w:val="center"/>
          </w:tcPr>
          <w:p>
            <w:pPr>
              <w:jc w:val="center"/>
              <w:rPr>
                <w:sz w:val="20"/>
                <w:szCs w:val="20"/>
              </w:rPr>
            </w:pPr>
            <w:r>
              <w:rPr>
                <w:sz w:val="20"/>
                <w:szCs w:val="20"/>
              </w:rPr>
              <w:t>0</w:t>
            </w:r>
          </w:p>
        </w:tc>
        <w:tc>
          <w:tcPr>
            <w:tcW w:w="1505" w:type="dxa"/>
            <w:vAlign w:val="center"/>
          </w:tcPr>
          <w:p>
            <w:pPr>
              <w:jc w:val="center"/>
              <w:rPr>
                <w:sz w:val="20"/>
                <w:szCs w:val="20"/>
              </w:rPr>
            </w:pPr>
            <w:r>
              <w:rPr>
                <w:sz w:val="20"/>
                <w:szCs w:val="20"/>
              </w:rPr>
              <w:t>0</w:t>
            </w:r>
          </w:p>
        </w:tc>
        <w:tc>
          <w:tcPr>
            <w:tcW w:w="1321" w:type="dxa"/>
            <w:vAlign w:val="center"/>
          </w:tcPr>
          <w:p>
            <w:pPr>
              <w:jc w:val="center"/>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基础实验室</w:t>
            </w:r>
          </w:p>
        </w:tc>
        <w:tc>
          <w:tcPr>
            <w:tcW w:w="1229" w:type="dxa"/>
            <w:vAlign w:val="center"/>
          </w:tcPr>
          <w:p>
            <w:pPr>
              <w:jc w:val="center"/>
              <w:rPr>
                <w:sz w:val="20"/>
                <w:szCs w:val="20"/>
              </w:rPr>
            </w:pPr>
            <w:r>
              <w:rPr>
                <w:sz w:val="20"/>
              </w:rPr>
              <w:t>1</w:t>
            </w:r>
          </w:p>
        </w:tc>
        <w:tc>
          <w:tcPr>
            <w:tcW w:w="1782" w:type="dxa"/>
            <w:vAlign w:val="center"/>
          </w:tcPr>
          <w:p>
            <w:pPr>
              <w:jc w:val="center"/>
              <w:rPr>
                <w:sz w:val="20"/>
                <w:szCs w:val="20"/>
              </w:rPr>
            </w:pPr>
            <w:r>
              <w:rPr>
                <w:sz w:val="20"/>
              </w:rPr>
              <w:t>2</w:t>
            </w:r>
          </w:p>
        </w:tc>
        <w:tc>
          <w:tcPr>
            <w:tcW w:w="1229" w:type="dxa"/>
            <w:vAlign w:val="center"/>
          </w:tcPr>
          <w:p>
            <w:pPr>
              <w:jc w:val="center"/>
              <w:rPr>
                <w:sz w:val="20"/>
                <w:szCs w:val="20"/>
              </w:rPr>
            </w:pPr>
            <w:r>
              <w:rPr>
                <w:sz w:val="20"/>
              </w:rPr>
              <w:t>144</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实习场所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实训场所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 w:val="20"/>
                <w:szCs w:val="20"/>
              </w:rPr>
            </w:pPr>
            <w:r>
              <w:rPr>
                <w:sz w:val="20"/>
              </w:rPr>
              <w:t>其他</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bl>
    <w:p/>
    <w:p>
      <w:pPr>
        <w:pStyle w:val="4"/>
        <w:rPr>
          <w:rFonts w:ascii="宋体" w:hAnsi="宋体" w:eastAsia="宋体"/>
          <w:b w:val="0"/>
          <w:bCs w:val="0"/>
          <w:sz w:val="24"/>
          <w:szCs w:val="24"/>
        </w:rPr>
      </w:pPr>
      <w:bookmarkStart w:id="78" w:name="_Toc154735785"/>
      <w:r>
        <w:rPr>
          <w:rFonts w:ascii="宋体" w:hAnsi="宋体" w:eastAsia="宋体"/>
          <w:b w:val="0"/>
          <w:bCs w:val="0"/>
          <w:sz w:val="24"/>
          <w:szCs w:val="24"/>
        </w:rPr>
        <w:t>5.3校外本科教学实习实训基地情况</w:t>
      </w:r>
      <w:bookmarkEnd w:id="78"/>
    </w:p>
    <w:p>
      <w:pPr>
        <w:spacing w:line="360" w:lineRule="auto"/>
        <w:ind w:firstLine="480" w:firstLineChars="200"/>
      </w:pPr>
      <w:r>
        <w:rPr>
          <w:rFonts w:hint="eastAsia"/>
        </w:rPr>
        <w:t>专业与业内口碑良好的教学软件公司建立了长期稳定的合作关系，并与阿里巴巴网络科技公司、上海科凌国际贸易有限公司、上海开路国际贸易有限公司等签署了合作办学相关协定，积极开拓校外本科教学实习实训基地。</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szCs w:val="20"/>
              </w:rPr>
              <w:t>南京世格软件有限公司</w:t>
            </w:r>
          </w:p>
        </w:tc>
        <w:tc>
          <w:tcPr>
            <w:tcW w:w="1401" w:type="dxa"/>
            <w:vAlign w:val="center"/>
          </w:tcPr>
          <w:p>
            <w:pPr>
              <w:jc w:val="center"/>
              <w:rPr>
                <w:sz w:val="20"/>
                <w:szCs w:val="20"/>
              </w:rPr>
            </w:pPr>
            <w:r>
              <w:rPr>
                <w:sz w:val="20"/>
                <w:szCs w:val="20"/>
              </w:rPr>
              <w:t>2006</w:t>
            </w:r>
          </w:p>
        </w:tc>
        <w:tc>
          <w:tcPr>
            <w:tcW w:w="2914" w:type="dxa"/>
            <w:vAlign w:val="center"/>
          </w:tcPr>
          <w:p>
            <w:pPr>
              <w:jc w:val="center"/>
              <w:rPr>
                <w:sz w:val="20"/>
                <w:szCs w:val="20"/>
              </w:rPr>
            </w:pPr>
            <w:r>
              <w:rPr>
                <w:sz w:val="20"/>
                <w:szCs w:val="20"/>
              </w:rPr>
              <w:t>120</w:t>
            </w:r>
            <w:bookmarkStart w:id="79" w:name="OLE_LINK50"/>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上海敏学信息技术有限公司</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阿里巴巴网络科技有限公司</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上海科凌国际贸易有限公司</w:t>
            </w:r>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上海开路国际贸易有限公司</w:t>
            </w:r>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6</w:t>
            </w:r>
          </w:p>
        </w:tc>
      </w:tr>
    </w:tbl>
    <w:p/>
    <w:p>
      <w:pPr>
        <w:pStyle w:val="3"/>
        <w:pageBreakBefore/>
        <w:spacing w:after="120" w:line="415" w:lineRule="auto"/>
        <w:jc w:val="left"/>
        <w:rPr>
          <w:rFonts w:ascii="宋体" w:hAnsi="宋体"/>
          <w:b w:val="0"/>
          <w:bCs w:val="0"/>
          <w:sz w:val="28"/>
          <w:szCs w:val="28"/>
        </w:rPr>
      </w:pPr>
      <w:bookmarkStart w:id="80" w:name="_Toc154735786"/>
      <w:r>
        <w:rPr>
          <w:rFonts w:ascii="宋体" w:hAnsi="宋体"/>
          <w:b w:val="0"/>
          <w:bCs w:val="0"/>
          <w:sz w:val="28"/>
          <w:szCs w:val="28"/>
        </w:rPr>
        <w:t>6.质量保障</w:t>
      </w:r>
      <w:bookmarkEnd w:id="80"/>
      <w:r>
        <w:rPr>
          <w:rFonts w:ascii="宋体" w:hAnsi="宋体"/>
          <w:b w:val="0"/>
          <w:bCs w:val="0"/>
          <w:sz w:val="28"/>
          <w:szCs w:val="28"/>
        </w:rPr>
        <w:t xml:space="preserve"> </w:t>
      </w:r>
    </w:p>
    <w:p>
      <w:pPr>
        <w:pStyle w:val="4"/>
        <w:rPr>
          <w:rFonts w:ascii="宋体" w:hAnsi="宋体" w:eastAsia="宋体"/>
          <w:b w:val="0"/>
          <w:bCs w:val="0"/>
          <w:sz w:val="24"/>
          <w:szCs w:val="24"/>
        </w:rPr>
      </w:pPr>
      <w:bookmarkStart w:id="81" w:name="_Toc154735787"/>
      <w:r>
        <w:rPr>
          <w:rFonts w:ascii="宋体" w:hAnsi="宋体" w:eastAsia="宋体"/>
          <w:b w:val="0"/>
          <w:bCs w:val="0"/>
          <w:sz w:val="24"/>
          <w:szCs w:val="24"/>
        </w:rPr>
        <w:t>6.1质量保障体系</w:t>
      </w:r>
      <w:bookmarkEnd w:id="81"/>
    </w:p>
    <w:p>
      <w:pPr>
        <w:spacing w:line="360" w:lineRule="auto"/>
        <w:ind w:firstLine="480" w:firstLineChars="200"/>
      </w:pPr>
      <w:r>
        <w:t>本专业严格遵照学校制定的行政负责制的校级质量管理体系和院（部）级质量管理体系。学校于2014年公开发布了《上海工程技术大学2013年度本科教学质量报告》，分析2013年学校本科教学质量的基本现状和主要问题。根据市教委的相关要求，建立了“专业质量报告制度”，开始定期发布专业质量报告。构建了校、院、系三级教学管理体系，建立了一系列教学管理规章制度，以及完整、有序的教学运行管理机制，以保障教学工作的制度化、规范化。</w:t>
      </w:r>
      <w:r>
        <w:rPr>
          <w:rFonts w:hint="eastAsia"/>
        </w:rPr>
        <w:t>学校深入贯彻习近平总书记关于教育的重要论述和全国教育大会精神；以落实立德树人根本任务、办人民满意的教育为基本目标，构建了“宏观-中观-微观”三个层次的人才培养质量监控体系。在此基础上，引入了基于“监测-评价-反馈-改进”的闭环质量管理理念，形成了校、院、专业三级教育教学质量保障体系。</w:t>
      </w:r>
    </w:p>
    <w:p>
      <w:pPr>
        <w:spacing w:line="360" w:lineRule="auto"/>
        <w:ind w:firstLine="480" w:firstLineChars="200"/>
      </w:pPr>
      <w:bookmarkStart w:id="82" w:name="_Toc27541"/>
      <w:bookmarkStart w:id="83" w:name="_Toc13364"/>
      <w:bookmarkStart w:id="84" w:name="_Toc62119334"/>
      <w:bookmarkStart w:id="85" w:name="_Toc103892201"/>
      <w:r>
        <w:t>（1）建立了专门的教学质量保障机构</w:t>
      </w:r>
      <w:bookmarkEnd w:id="82"/>
      <w:bookmarkEnd w:id="83"/>
      <w:bookmarkEnd w:id="84"/>
      <w:bookmarkEnd w:id="85"/>
    </w:p>
    <w:p>
      <w:pPr>
        <w:spacing w:line="360" w:lineRule="auto"/>
        <w:ind w:firstLine="480" w:firstLineChars="200"/>
      </w:pPr>
      <w:r>
        <w:t>学校建立了由主管教学校长担任组长、教务处、各学院院长担任组员的教学质量保障机构，由教务处教学质量科负责具体的管理工作安排。设有教学指导委员会、教学督导组等，对各院系的教学工作进行全面监督、检查和指导。</w:t>
      </w:r>
      <w:r>
        <w:rPr>
          <w:rFonts w:hint="eastAsia"/>
        </w:rPr>
        <w:t>在校级教学质量保障机构的指导下，本专业建立起了以院长负责、教学副院长----系主任/专业负责人/分管教学副主任----老师/教学秘书组成的自上而下的教学质量保障队伍，高效完成了各类教学工作。</w:t>
      </w:r>
    </w:p>
    <w:p>
      <w:pPr>
        <w:widowControl w:val="0"/>
        <w:spacing w:line="360" w:lineRule="auto"/>
        <w:ind w:firstLine="480" w:firstLineChars="200"/>
        <w:rPr>
          <w:rFonts w:ascii="仿宋" w:hAnsi="仿宋" w:eastAsia="仿宋" w:cstheme="minorBidi"/>
          <w:kern w:val="2"/>
        </w:rPr>
      </w:pPr>
      <w:r>
        <w:drawing>
          <wp:inline distT="0" distB="0" distL="0" distR="0">
            <wp:extent cx="5274310" cy="19132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t="12933" b="18611"/>
                    <a:stretch>
                      <a:fillRect/>
                    </a:stretch>
                  </pic:blipFill>
                  <pic:spPr>
                    <a:xfrm>
                      <a:off x="0" y="0"/>
                      <a:ext cx="5274310" cy="1913255"/>
                    </a:xfrm>
                    <a:prstGeom prst="rect">
                      <a:avLst/>
                    </a:prstGeom>
                    <a:noFill/>
                    <a:ln>
                      <a:noFill/>
                    </a:ln>
                  </pic:spPr>
                </pic:pic>
              </a:graphicData>
            </a:graphic>
          </wp:inline>
        </w:drawing>
      </w:r>
    </w:p>
    <w:p>
      <w:pPr>
        <w:spacing w:line="360" w:lineRule="auto"/>
        <w:ind w:firstLine="480" w:firstLineChars="200"/>
      </w:pPr>
      <w:bookmarkStart w:id="86" w:name="_Toc24524"/>
      <w:bookmarkStart w:id="87" w:name="_Toc32496"/>
      <w:bookmarkStart w:id="88" w:name="_Toc103892202"/>
      <w:bookmarkStart w:id="89" w:name="_Toc62119335"/>
      <w:r>
        <w:t>（2）完善的教学质量监控机制</w:t>
      </w:r>
      <w:bookmarkEnd w:id="86"/>
      <w:bookmarkEnd w:id="87"/>
      <w:bookmarkEnd w:id="88"/>
      <w:bookmarkEnd w:id="89"/>
    </w:p>
    <w:p>
      <w:pPr>
        <w:spacing w:line="360" w:lineRule="auto"/>
        <w:ind w:firstLine="480" w:firstLineChars="200"/>
      </w:pPr>
      <w:r>
        <w:t>学校和学院依据自身定位和人才培养目标，建立起了涵盖专业建设、课程建设、理论教学、实践教学（实验、实习、社会实践、课程设计、毕业论文或设计等）等本科教学各环节的质量标准，构建了目标与过程并重的本科教学质量监控体系，通过两级督导、三级保障模式有效运行，形成良性循环，对保障教学质量起到了重要的积极作用。</w:t>
      </w:r>
    </w:p>
    <w:p>
      <w:pPr>
        <w:spacing w:line="360" w:lineRule="auto"/>
        <w:ind w:firstLine="480" w:firstLineChars="200"/>
      </w:pPr>
      <w:bookmarkStart w:id="90" w:name="_Toc103892203"/>
      <w:bookmarkStart w:id="91" w:name="_Toc11815"/>
      <w:bookmarkStart w:id="92" w:name="_Toc62119336"/>
      <w:bookmarkStart w:id="93" w:name="_Toc26326"/>
      <w:r>
        <w:t>（3）本专业的人才培养质量监控机制</w:t>
      </w:r>
      <w:bookmarkEnd w:id="90"/>
      <w:bookmarkEnd w:id="91"/>
      <w:bookmarkEnd w:id="92"/>
      <w:bookmarkEnd w:id="93"/>
    </w:p>
    <w:p>
      <w:pPr>
        <w:spacing w:line="360" w:lineRule="auto"/>
        <w:ind w:firstLine="480" w:firstLineChars="200"/>
      </w:pPr>
      <w:r>
        <w:t>在专业建设发展过程中，</w:t>
      </w:r>
      <w:r>
        <w:rPr>
          <w:rFonts w:hint="eastAsia"/>
        </w:rPr>
        <w:t>工商管理</w:t>
      </w:r>
      <w:r>
        <w:t>系构建了以师资培养为支撑、以理论知识体系和实践知识体系为两翼的人才培养模式。通过互相听课、教学检查、学生评教、考试、学生座谈反馈等实现教学过程质量的保障。</w:t>
      </w:r>
    </w:p>
    <w:p>
      <w:pPr>
        <w:pStyle w:val="26"/>
        <w:tabs>
          <w:tab w:val="left" w:pos="681"/>
        </w:tabs>
        <w:spacing w:after="32" w:afterAutospacing="0"/>
        <w:rPr>
          <w:rFonts w:ascii="Times New Roman" w:hAnsi="Times New Roman" w:eastAsia="Times New Roman" w:cs="Times New Roman"/>
        </w:rPr>
      </w:pPr>
    </w:p>
    <w:p>
      <w:pPr>
        <w:pStyle w:val="4"/>
        <w:rPr>
          <w:rFonts w:ascii="宋体" w:hAnsi="宋体" w:eastAsia="宋体"/>
          <w:b w:val="0"/>
          <w:bCs w:val="0"/>
          <w:sz w:val="24"/>
          <w:szCs w:val="24"/>
        </w:rPr>
      </w:pPr>
      <w:bookmarkStart w:id="94" w:name="_Toc154735788"/>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94"/>
    </w:p>
    <w:p>
      <w:pPr>
        <w:spacing w:line="360" w:lineRule="auto"/>
        <w:ind w:firstLine="480" w:firstLineChars="200"/>
      </w:pPr>
      <w:r>
        <w:rPr>
          <w:rFonts w:hint="eastAsia"/>
        </w:rPr>
        <w:t>本专业完善了教学质量监控体系，对课堂教学结果反馈，例如督导听课、领导听课、同行听课、学生评教等情况做到实时掌握，有错必纠；对课堂后教学情况，例如试卷及教学资料检查情况等进行实时检查，并参照教师学生座谈会情况及时高效掌握学生反馈，在教学质量月活动中对全体教师进行普查，在学生学习与就业满意度调查等中查看教学相关情况。</w:t>
      </w:r>
    </w:p>
    <w:p>
      <w:r>
        <w:drawing>
          <wp:inline distT="0" distB="0" distL="0" distR="0">
            <wp:extent cx="4749800" cy="2597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49800" cy="2597150"/>
                    </a:xfrm>
                    <a:prstGeom prst="rect">
                      <a:avLst/>
                    </a:prstGeom>
                    <a:noFill/>
                    <a:ln>
                      <a:noFill/>
                    </a:ln>
                  </pic:spPr>
                </pic:pic>
              </a:graphicData>
            </a:graphic>
          </wp:inline>
        </w:drawing>
      </w:r>
    </w:p>
    <w:p>
      <w:pPr>
        <w:pStyle w:val="4"/>
        <w:rPr>
          <w:rFonts w:ascii="宋体" w:hAnsi="宋体" w:eastAsia="宋体"/>
          <w:b w:val="0"/>
          <w:bCs w:val="0"/>
          <w:sz w:val="24"/>
          <w:szCs w:val="24"/>
        </w:rPr>
      </w:pPr>
      <w:bookmarkStart w:id="95" w:name="_Toc154735789"/>
      <w:r>
        <w:rPr>
          <w:rFonts w:ascii="宋体" w:hAnsi="宋体" w:eastAsia="宋体"/>
          <w:b w:val="0"/>
          <w:bCs w:val="0"/>
          <w:sz w:val="24"/>
          <w:szCs w:val="24"/>
        </w:rPr>
        <w:t>6.3</w:t>
      </w:r>
      <w:r>
        <w:rPr>
          <w:rFonts w:hint="eastAsia" w:ascii="宋体" w:hAnsi="宋体" w:eastAsia="宋体"/>
          <w:b w:val="0"/>
          <w:bCs w:val="0"/>
          <w:sz w:val="24"/>
          <w:szCs w:val="24"/>
        </w:rPr>
        <w:t>质量评估反馈及持续改进</w:t>
      </w:r>
      <w:bookmarkEnd w:id="95"/>
      <w:r>
        <w:rPr>
          <w:rFonts w:hint="eastAsia" w:ascii="宋体" w:hAnsi="宋体" w:eastAsia="宋体"/>
          <w:b w:val="0"/>
          <w:bCs w:val="0"/>
          <w:sz w:val="24"/>
          <w:szCs w:val="24"/>
        </w:rPr>
        <w:t xml:space="preserve"> </w:t>
      </w:r>
    </w:p>
    <w:p>
      <w:pPr>
        <w:spacing w:line="360" w:lineRule="auto"/>
        <w:ind w:firstLine="480" w:firstLineChars="200"/>
      </w:pPr>
      <w:r>
        <w:rPr>
          <w:rFonts w:hint="eastAsia"/>
        </w:rPr>
        <w:t>教学质量监控运行情况都良好。每学期系里都开展教师互相评教，教师之间真诚交流，互相帮助，不断提高教学质量。学校都有一年一度的教学质量月活动，针对教务处质量办反馈的督导听课不理想的课程，学院会有约谈机制，系主任和相关教师均在场。系里会进一步安排听课等措施帮助该教师改进教学方法、提升教学效果。每一学期举行一次师生座谈会，学生们畅所欲言，与老师们坦诚地交流对专业以及课程的理解和意见，老师们则耐心地解答学生的疑问，并根据学生们的意见改进自己的课程。</w:t>
      </w:r>
    </w:p>
    <w:p>
      <w:pPr>
        <w:pStyle w:val="4"/>
        <w:rPr>
          <w:rFonts w:ascii="宋体" w:hAnsi="宋体" w:eastAsia="宋体"/>
          <w:b w:val="0"/>
          <w:bCs w:val="0"/>
          <w:sz w:val="24"/>
          <w:szCs w:val="24"/>
        </w:rPr>
      </w:pPr>
      <w:bookmarkStart w:id="96" w:name="_Toc154735790"/>
      <w:r>
        <w:rPr>
          <w:rFonts w:ascii="宋体" w:hAnsi="宋体" w:eastAsia="宋体"/>
          <w:b w:val="0"/>
          <w:bCs w:val="0"/>
          <w:sz w:val="24"/>
          <w:szCs w:val="24"/>
        </w:rPr>
        <w:t>6.4</w:t>
      </w:r>
      <w:r>
        <w:rPr>
          <w:rFonts w:hint="eastAsia" w:ascii="宋体" w:hAnsi="宋体" w:eastAsia="宋体"/>
          <w:b w:val="0"/>
          <w:bCs w:val="0"/>
          <w:sz w:val="24"/>
          <w:szCs w:val="24"/>
        </w:rPr>
        <w:t>在校生与毕业生满意度</w:t>
      </w:r>
      <w:bookmarkEnd w:id="96"/>
      <w:r>
        <w:rPr>
          <w:rFonts w:hint="eastAsia" w:ascii="宋体" w:hAnsi="宋体" w:eastAsia="宋体"/>
          <w:b w:val="0"/>
          <w:bCs w:val="0"/>
          <w:sz w:val="24"/>
          <w:szCs w:val="24"/>
        </w:rPr>
        <w:t xml:space="preserve"> </w:t>
      </w:r>
    </w:p>
    <w:p>
      <w:pPr>
        <w:spacing w:line="360" w:lineRule="auto"/>
        <w:ind w:firstLine="480" w:firstLineChars="200"/>
      </w:pPr>
      <w:r>
        <w:rPr>
          <w:rFonts w:hint="eastAsia"/>
        </w:rPr>
        <w:t>在校生和毕业生对国际经济与贸易专业的</w:t>
      </w:r>
      <w:r>
        <w:t>教育</w:t>
      </w:r>
      <w:r>
        <w:rPr>
          <w:rFonts w:hint="eastAsia"/>
        </w:rPr>
        <w:t>教学</w:t>
      </w:r>
      <w:r>
        <w:t>满意程度整体处于较高水平。</w:t>
      </w:r>
      <w:r>
        <w:rPr>
          <w:rFonts w:hint="eastAsia"/>
        </w:rPr>
        <w:t>本专业每年都会召开多次师生座谈会及至少一次毕业生座谈会，及时了解学生的诉求</w:t>
      </w:r>
      <w:r>
        <w:t>，比如学生希望进一步优化课程体系设置，加强校企合作，多开设一些实践类的课程，增加更多参与学科竞赛和教师科研项目的机会，提供更多的高质量的国际化资源，及时修缮宿舍基础设施，保障住宿环境，加强食堂</w:t>
      </w:r>
      <w:r>
        <w:rPr>
          <w:rFonts w:hint="eastAsia"/>
        </w:rPr>
        <w:t>管理</w:t>
      </w:r>
      <w:r>
        <w:t>、商店价格管理，优化业务办理流程，加强职业规划课程和心理咨询指导等。</w:t>
      </w:r>
    </w:p>
    <w:p>
      <w:pPr>
        <w:spacing w:line="360" w:lineRule="auto"/>
        <w:ind w:firstLine="480" w:firstLineChars="200"/>
      </w:pPr>
      <w:r>
        <w:rPr>
          <w:rFonts w:hint="eastAsia"/>
        </w:rPr>
        <w:t>本专业的特色是留学生人数众多，留学生来自于2</w:t>
      </w:r>
      <w:r>
        <w:t>0</w:t>
      </w:r>
      <w:r>
        <w:rPr>
          <w:rFonts w:hint="eastAsia"/>
        </w:rPr>
        <w:t>多个不同的国家，由于语言和文化的障碍，需要更多地关心留学生的学习与生活情况，与留学生进行座谈显得尤为重要。因此本专业老师专门开展了针对留学生的专项师生座谈会，老师们针对留学生的特点改进教学方法，对于提高留学生的满意度起到了积极作用。</w:t>
      </w:r>
    </w:p>
    <w:p>
      <w:pPr>
        <w:jc w:val="center"/>
      </w:pPr>
      <w:r>
        <w:rPr>
          <w:color w:val="333333"/>
        </w:rPr>
        <w:drawing>
          <wp:inline distT="0" distB="0" distL="0" distR="0">
            <wp:extent cx="2597150" cy="1950720"/>
            <wp:effectExtent l="0" t="0" r="0" b="0"/>
            <wp:docPr id="1064333055" name="图片 106433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33055" name="图片 10643330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01607" cy="1954410"/>
                    </a:xfrm>
                    <a:prstGeom prst="rect">
                      <a:avLst/>
                    </a:prstGeom>
                    <a:noFill/>
                    <a:ln>
                      <a:noFill/>
                    </a:ln>
                  </pic:spPr>
                </pic:pic>
              </a:graphicData>
            </a:graphic>
          </wp:inline>
        </w:drawing>
      </w:r>
      <w:r>
        <w:rPr>
          <w:rFonts w:hint="eastAsia"/>
        </w:rPr>
        <w:t xml:space="preserve"> </w:t>
      </w:r>
      <w:r>
        <w:t xml:space="preserve">  </w:t>
      </w:r>
      <w:r>
        <w:drawing>
          <wp:inline distT="0" distB="0" distL="0" distR="0">
            <wp:extent cx="2403475" cy="1351280"/>
            <wp:effectExtent l="0" t="0" r="15875" b="1270"/>
            <wp:docPr id="3" name="图片 3" descr="C:\Users\woaini20070626\Documents\WeChat Files\wxid_tggqn9yslpt012\FileStorage\Temp\0ddc98882c621f830908f87e3f8f990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oaini20070626\Documents\WeChat Files\wxid_tggqn9yslpt012\FileStorage\Temp\0ddc98882c621f830908f87e3f8f990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3475" cy="1351280"/>
                    </a:xfrm>
                    <a:prstGeom prst="rect">
                      <a:avLst/>
                    </a:prstGeom>
                    <a:noFill/>
                    <a:ln>
                      <a:noFill/>
                    </a:ln>
                  </pic:spPr>
                </pic:pic>
              </a:graphicData>
            </a:graphic>
          </wp:inline>
        </w:drawing>
      </w:r>
    </w:p>
    <w:p>
      <w:pPr>
        <w:pStyle w:val="3"/>
        <w:spacing w:after="120" w:line="415" w:lineRule="auto"/>
        <w:jc w:val="left"/>
        <w:rPr>
          <w:rFonts w:ascii="宋体" w:hAnsi="宋体"/>
          <w:b w:val="0"/>
          <w:bCs w:val="0"/>
          <w:sz w:val="28"/>
          <w:szCs w:val="28"/>
        </w:rPr>
      </w:pPr>
      <w:bookmarkStart w:id="97" w:name="_Toc154735791"/>
      <w:r>
        <w:rPr>
          <w:rFonts w:ascii="宋体" w:hAnsi="宋体"/>
          <w:b w:val="0"/>
          <w:bCs w:val="0"/>
          <w:sz w:val="28"/>
          <w:szCs w:val="28"/>
        </w:rPr>
        <w:t>7.</w:t>
      </w:r>
      <w:r>
        <w:rPr>
          <w:rFonts w:hint="eastAsia" w:ascii="宋体" w:hAnsi="宋体"/>
          <w:b w:val="0"/>
          <w:bCs w:val="0"/>
          <w:sz w:val="28"/>
          <w:szCs w:val="28"/>
        </w:rPr>
        <w:t>学生发展</w:t>
      </w:r>
      <w:bookmarkEnd w:id="97"/>
    </w:p>
    <w:p>
      <w:pPr>
        <w:pStyle w:val="4"/>
        <w:rPr>
          <w:rFonts w:ascii="宋体" w:hAnsi="宋体" w:eastAsia="宋体"/>
          <w:b w:val="0"/>
          <w:bCs w:val="0"/>
          <w:sz w:val="24"/>
          <w:szCs w:val="24"/>
        </w:rPr>
      </w:pPr>
      <w:bookmarkStart w:id="98" w:name="_TOC_250024"/>
      <w:bookmarkEnd w:id="98"/>
      <w:bookmarkStart w:id="99" w:name="_Toc154735792"/>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99"/>
      <w:r>
        <w:rPr>
          <w:rFonts w:hint="eastAsia" w:ascii="宋体" w:hAnsi="宋体" w:eastAsia="宋体"/>
          <w:b w:val="0"/>
          <w:bCs w:val="0"/>
          <w:sz w:val="24"/>
          <w:szCs w:val="24"/>
        </w:rPr>
        <w:t xml:space="preserve"> </w:t>
      </w:r>
    </w:p>
    <w:p>
      <w:pPr>
        <w:spacing w:line="360" w:lineRule="auto"/>
        <w:ind w:firstLine="480" w:firstLineChars="200"/>
      </w:pPr>
      <w:r>
        <w:rPr>
          <w:rFonts w:hint="eastAsia"/>
        </w:rPr>
        <w:t>国际经济与贸易专业前专业在校学生总数</w:t>
      </w:r>
      <w:r>
        <w:t>412</w:t>
      </w:r>
      <w:r>
        <w:rPr>
          <w:rFonts w:hint="eastAsia"/>
        </w:rPr>
        <w:t>人，其中留学生1</w:t>
      </w:r>
      <w:r>
        <w:t>47</w:t>
      </w:r>
      <w:r>
        <w:rPr>
          <w:rFonts w:hint="eastAsia"/>
        </w:rPr>
        <w:t>人，占比3</w:t>
      </w:r>
      <w:r>
        <w:t>5.68</w:t>
      </w:r>
      <w:r>
        <w:rPr>
          <w:rFonts w:hint="eastAsia"/>
        </w:rPr>
        <w:t>%，是全校招收留学生最多的专业。各年级人数分布详见下表。</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29</w:t>
            </w:r>
          </w:p>
        </w:tc>
      </w:tr>
    </w:tbl>
    <w:p/>
    <w:p>
      <w:pPr>
        <w:pStyle w:val="4"/>
        <w:rPr>
          <w:rFonts w:ascii="宋体" w:hAnsi="宋体" w:eastAsia="宋体"/>
          <w:b w:val="0"/>
          <w:bCs w:val="0"/>
          <w:sz w:val="24"/>
          <w:szCs w:val="24"/>
        </w:rPr>
      </w:pPr>
      <w:bookmarkStart w:id="100" w:name="_Toc154735793"/>
      <w:r>
        <w:rPr>
          <w:rFonts w:ascii="宋体" w:hAnsi="宋体" w:eastAsia="宋体"/>
          <w:b w:val="0"/>
          <w:bCs w:val="0"/>
          <w:sz w:val="24"/>
          <w:szCs w:val="24"/>
        </w:rPr>
        <w:t>7.2专业招生录取率和新生报到率</w:t>
      </w:r>
      <w:bookmarkEnd w:id="100"/>
    </w:p>
    <w:p>
      <w:pPr>
        <w:widowControl w:val="0"/>
        <w:spacing w:line="360" w:lineRule="auto"/>
        <w:ind w:firstLine="480" w:firstLineChars="200"/>
      </w:pPr>
      <w:r>
        <w:rPr>
          <w:rFonts w:hint="eastAsia"/>
        </w:rPr>
        <w:t>2023级学生来自全国13个省、市、自治区，大部分省市的一志愿录取数和实际报到率为1</w:t>
      </w:r>
      <w:r>
        <w:t>00</w:t>
      </w:r>
      <w:r>
        <w:rPr>
          <w:rFonts w:hint="eastAsia"/>
        </w:rPr>
        <w:t>%。各省份招生、录取、报到情况详见下表。</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1"/>
                <w:szCs w:val="21"/>
              </w:rPr>
            </w:pPr>
            <w:r>
              <w:rPr>
                <w:rFonts w:hint="eastAsia"/>
                <w:sz w:val="21"/>
                <w:szCs w:val="21"/>
              </w:rPr>
              <w:t>省份</w:t>
            </w:r>
          </w:p>
        </w:tc>
        <w:tc>
          <w:tcPr>
            <w:tcW w:w="1037" w:type="dxa"/>
            <w:vAlign w:val="center"/>
          </w:tcPr>
          <w:p>
            <w:pPr>
              <w:jc w:val="center"/>
              <w:rPr>
                <w:sz w:val="21"/>
                <w:szCs w:val="21"/>
              </w:rPr>
            </w:pPr>
            <w:r>
              <w:rPr>
                <w:rFonts w:hint="eastAsia"/>
                <w:sz w:val="21"/>
                <w:szCs w:val="21"/>
              </w:rPr>
              <w:t>招生计划数</w:t>
            </w:r>
          </w:p>
        </w:tc>
        <w:tc>
          <w:tcPr>
            <w:tcW w:w="1037" w:type="dxa"/>
            <w:vAlign w:val="center"/>
          </w:tcPr>
          <w:p>
            <w:pPr>
              <w:jc w:val="center"/>
              <w:rPr>
                <w:sz w:val="21"/>
                <w:szCs w:val="21"/>
              </w:rPr>
            </w:pPr>
            <w:r>
              <w:rPr>
                <w:rFonts w:hint="eastAsia"/>
                <w:sz w:val="21"/>
                <w:szCs w:val="21"/>
              </w:rPr>
              <w:t>实际录取数</w:t>
            </w:r>
          </w:p>
        </w:tc>
        <w:tc>
          <w:tcPr>
            <w:tcW w:w="1037" w:type="dxa"/>
            <w:vAlign w:val="center"/>
          </w:tcPr>
          <w:p>
            <w:pPr>
              <w:jc w:val="center"/>
              <w:rPr>
                <w:sz w:val="21"/>
                <w:szCs w:val="21"/>
              </w:rPr>
            </w:pPr>
            <w:r>
              <w:rPr>
                <w:rFonts w:hint="eastAsia"/>
                <w:sz w:val="21"/>
                <w:szCs w:val="21"/>
              </w:rPr>
              <w:t>录取率</w:t>
            </w:r>
          </w:p>
        </w:tc>
        <w:tc>
          <w:tcPr>
            <w:tcW w:w="1037" w:type="dxa"/>
            <w:vAlign w:val="center"/>
          </w:tcPr>
          <w:p>
            <w:pPr>
              <w:jc w:val="center"/>
              <w:rPr>
                <w:sz w:val="21"/>
                <w:szCs w:val="21"/>
              </w:rPr>
            </w:pPr>
            <w:r>
              <w:rPr>
                <w:rFonts w:hint="eastAsia"/>
                <w:sz w:val="21"/>
                <w:szCs w:val="21"/>
              </w:rPr>
              <w:t>一志愿录取数</w:t>
            </w:r>
          </w:p>
        </w:tc>
        <w:tc>
          <w:tcPr>
            <w:tcW w:w="1037" w:type="dxa"/>
            <w:vAlign w:val="center"/>
          </w:tcPr>
          <w:p>
            <w:pPr>
              <w:jc w:val="center"/>
              <w:rPr>
                <w:sz w:val="21"/>
                <w:szCs w:val="21"/>
              </w:rPr>
            </w:pPr>
            <w:r>
              <w:rPr>
                <w:rFonts w:hint="eastAsia"/>
                <w:sz w:val="21"/>
                <w:szCs w:val="21"/>
              </w:rPr>
              <w:t>一志愿录取率</w:t>
            </w:r>
          </w:p>
        </w:tc>
        <w:tc>
          <w:tcPr>
            <w:tcW w:w="1037" w:type="dxa"/>
            <w:vAlign w:val="center"/>
          </w:tcPr>
          <w:p>
            <w:pPr>
              <w:jc w:val="center"/>
              <w:rPr>
                <w:sz w:val="21"/>
                <w:szCs w:val="21"/>
              </w:rPr>
            </w:pPr>
            <w:r>
              <w:rPr>
                <w:rFonts w:hint="eastAsia"/>
                <w:sz w:val="21"/>
                <w:szCs w:val="21"/>
              </w:rPr>
              <w:t>实际报到数</w:t>
            </w:r>
          </w:p>
        </w:tc>
        <w:tc>
          <w:tcPr>
            <w:tcW w:w="1037" w:type="dxa"/>
            <w:vAlign w:val="center"/>
          </w:tcPr>
          <w:p>
            <w:pPr>
              <w:jc w:val="center"/>
              <w:rPr>
                <w:sz w:val="21"/>
                <w:szCs w:val="21"/>
              </w:rPr>
            </w:pPr>
            <w:r>
              <w:rPr>
                <w:rFonts w:hint="eastAsia"/>
                <w:sz w:val="21"/>
                <w:szCs w:val="21"/>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szCs w:val="20"/>
              </w:rPr>
              <w:t>贵州省</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c>
          <w:tcPr>
            <w:tcW w:w="1037" w:type="dxa"/>
            <w:vAlign w:val="center"/>
          </w:tcPr>
          <w:p>
            <w:pPr>
              <w:jc w:val="center"/>
              <w:rPr>
                <w:sz w:val="20"/>
                <w:szCs w:val="20"/>
              </w:rPr>
            </w:pPr>
            <w:r>
              <w:rPr>
                <w:sz w:val="20"/>
                <w:szCs w:val="20"/>
              </w:rPr>
              <w:t>1</w:t>
            </w:r>
          </w:p>
        </w:tc>
        <w:tc>
          <w:tcPr>
            <w:tcW w:w="1037" w:type="dxa"/>
            <w:vAlign w:val="center"/>
          </w:tcPr>
          <w:p>
            <w:pPr>
              <w:jc w:val="center"/>
              <w:rPr>
                <w:sz w:val="20"/>
                <w:szCs w:val="20"/>
              </w:rPr>
            </w:pPr>
            <w:r>
              <w:rPr>
                <w:sz w:val="20"/>
                <w:szCs w:val="20"/>
              </w:rPr>
              <w:t>33.33</w:t>
            </w:r>
          </w:p>
        </w:tc>
        <w:tc>
          <w:tcPr>
            <w:tcW w:w="1037" w:type="dxa"/>
            <w:vAlign w:val="center"/>
          </w:tcPr>
          <w:p>
            <w:pPr>
              <w:jc w:val="center"/>
              <w:rPr>
                <w:sz w:val="20"/>
                <w:szCs w:val="20"/>
              </w:rPr>
            </w:pPr>
            <w:r>
              <w:rPr>
                <w:sz w:val="20"/>
                <w:szCs w:val="20"/>
              </w:rPr>
              <w:t>3</w:t>
            </w:r>
          </w:p>
        </w:tc>
        <w:tc>
          <w:tcPr>
            <w:tcW w:w="1037" w:type="dxa"/>
            <w:vAlign w:val="center"/>
          </w:tcPr>
          <w:p>
            <w:pPr>
              <w:jc w:val="center"/>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新疆维吾尔自治区</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50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河南省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上海市</w:t>
            </w:r>
          </w:p>
        </w:tc>
        <w:tc>
          <w:tcPr>
            <w:tcW w:w="1037" w:type="dxa"/>
            <w:vAlign w:val="center"/>
          </w:tcPr>
          <w:p>
            <w:pPr>
              <w:jc w:val="center"/>
              <w:rPr>
                <w:sz w:val="20"/>
                <w:szCs w:val="20"/>
              </w:rPr>
            </w:pPr>
            <w:r>
              <w:rPr>
                <w:sz w:val="20"/>
              </w:rPr>
              <w:t>36</w:t>
            </w:r>
          </w:p>
        </w:tc>
        <w:tc>
          <w:tcPr>
            <w:tcW w:w="1037" w:type="dxa"/>
            <w:vAlign w:val="center"/>
          </w:tcPr>
          <w:p>
            <w:pPr>
              <w:jc w:val="center"/>
              <w:rPr>
                <w:sz w:val="20"/>
                <w:szCs w:val="20"/>
              </w:rPr>
            </w:pPr>
            <w:r>
              <w:rPr>
                <w:sz w:val="20"/>
              </w:rPr>
              <w:t>36</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21</w:t>
            </w:r>
          </w:p>
        </w:tc>
        <w:tc>
          <w:tcPr>
            <w:tcW w:w="1037" w:type="dxa"/>
            <w:vAlign w:val="center"/>
          </w:tcPr>
          <w:p>
            <w:pPr>
              <w:jc w:val="center"/>
              <w:rPr>
                <w:sz w:val="20"/>
                <w:szCs w:val="20"/>
              </w:rPr>
            </w:pPr>
            <w:r>
              <w:rPr>
                <w:sz w:val="20"/>
              </w:rPr>
              <w:t>58.33</w:t>
            </w:r>
          </w:p>
        </w:tc>
        <w:tc>
          <w:tcPr>
            <w:tcW w:w="1037" w:type="dxa"/>
            <w:vAlign w:val="center"/>
          </w:tcPr>
          <w:p>
            <w:pPr>
              <w:jc w:val="center"/>
              <w:rPr>
                <w:sz w:val="20"/>
                <w:szCs w:val="20"/>
              </w:rPr>
            </w:pPr>
            <w:r>
              <w:rPr>
                <w:sz w:val="20"/>
              </w:rPr>
              <w:t>35</w:t>
            </w:r>
          </w:p>
        </w:tc>
        <w:tc>
          <w:tcPr>
            <w:tcW w:w="1037" w:type="dxa"/>
            <w:vAlign w:val="center"/>
          </w:tcPr>
          <w:p>
            <w:pPr>
              <w:jc w:val="center"/>
              <w:rPr>
                <w:sz w:val="20"/>
                <w:szCs w:val="20"/>
              </w:rPr>
            </w:pPr>
            <w:r>
              <w:rPr>
                <w:sz w:val="20"/>
              </w:rPr>
              <w:t>97.22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安徽省</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山东省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福建省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云南省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吉林省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黑龙江省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广西壮族自治区</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66.67</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湖南省</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1</w:t>
            </w:r>
          </w:p>
        </w:tc>
        <w:tc>
          <w:tcPr>
            <w:tcW w:w="1037" w:type="dxa"/>
            <w:vAlign w:val="center"/>
          </w:tcPr>
          <w:p>
            <w:pPr>
              <w:jc w:val="center"/>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sz w:val="20"/>
                <w:szCs w:val="20"/>
              </w:rPr>
            </w:pPr>
            <w:r>
              <w:rPr>
                <w:sz w:val="20"/>
              </w:rPr>
              <w:t>河北省</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3</w:t>
            </w:r>
          </w:p>
        </w:tc>
        <w:tc>
          <w:tcPr>
            <w:tcW w:w="1037" w:type="dxa"/>
            <w:vAlign w:val="center"/>
          </w:tcPr>
          <w:p>
            <w:pPr>
              <w:jc w:val="center"/>
              <w:rPr>
                <w:sz w:val="20"/>
                <w:szCs w:val="20"/>
              </w:rPr>
            </w:pPr>
            <w:r>
              <w:rPr>
                <w:sz w:val="20"/>
              </w:rPr>
              <w:t>100</w:t>
            </w:r>
          </w:p>
        </w:tc>
        <w:tc>
          <w:tcPr>
            <w:tcW w:w="1037" w:type="dxa"/>
            <w:vAlign w:val="center"/>
          </w:tcPr>
          <w:p>
            <w:pPr>
              <w:jc w:val="center"/>
              <w:rPr>
                <w:sz w:val="20"/>
                <w:szCs w:val="20"/>
              </w:rPr>
            </w:pPr>
            <w:r>
              <w:rPr>
                <w:sz w:val="20"/>
              </w:rPr>
              <w:t>2</w:t>
            </w:r>
          </w:p>
        </w:tc>
        <w:tc>
          <w:tcPr>
            <w:tcW w:w="1037" w:type="dxa"/>
            <w:vAlign w:val="center"/>
          </w:tcPr>
          <w:p>
            <w:pPr>
              <w:jc w:val="center"/>
              <w:rPr>
                <w:sz w:val="20"/>
                <w:szCs w:val="20"/>
              </w:rPr>
            </w:pPr>
            <w:r>
              <w:rPr>
                <w:sz w:val="20"/>
              </w:rPr>
              <w:t>66.67</w:t>
            </w:r>
          </w:p>
        </w:tc>
      </w:tr>
    </w:tbl>
    <w:p/>
    <w:p>
      <w:pPr>
        <w:pStyle w:val="4"/>
        <w:rPr>
          <w:rFonts w:ascii="宋体" w:hAnsi="宋体" w:eastAsia="宋体"/>
          <w:b w:val="0"/>
          <w:bCs w:val="0"/>
          <w:sz w:val="24"/>
          <w:szCs w:val="24"/>
        </w:rPr>
      </w:pPr>
      <w:bookmarkStart w:id="101" w:name="_Toc154735794"/>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101"/>
    </w:p>
    <w:p>
      <w:pPr>
        <w:spacing w:line="360" w:lineRule="auto"/>
        <w:ind w:firstLine="480" w:firstLineChars="200"/>
      </w:pPr>
      <w:r>
        <w:rPr>
          <w:rFonts w:hint="eastAsia"/>
        </w:rPr>
        <w:t>国际经济与贸易专业本年度应届毕业生人数为9</w:t>
      </w:r>
      <w:r>
        <w:t>7</w:t>
      </w:r>
      <w:r>
        <w:rPr>
          <w:rFonts w:hint="eastAsia"/>
        </w:rPr>
        <w:t>，毕业率为9</w:t>
      </w:r>
      <w:r>
        <w:t>6.04</w:t>
      </w:r>
      <w:r>
        <w:rPr>
          <w:rFonts w:hint="eastAsia"/>
        </w:rPr>
        <w:t>，学位授予率为1</w:t>
      </w:r>
      <w:r>
        <w:t>00</w:t>
      </w:r>
      <w:r>
        <w:rPr>
          <w:rFonts w:hint="eastAsia"/>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102" w:name="OLE_LINK53"/>
            <w:r>
              <w:rPr>
                <w:rFonts w:hint="eastAsia"/>
                <w:sz w:val="21"/>
                <w:szCs w:val="21"/>
              </w:rPr>
              <w:t>应届毕业生数</w:t>
            </w:r>
            <w:bookmarkEnd w:id="102"/>
          </w:p>
        </w:tc>
        <w:tc>
          <w:tcPr>
            <w:tcW w:w="1921" w:type="dxa"/>
            <w:vAlign w:val="center"/>
          </w:tcPr>
          <w:p>
            <w:pPr>
              <w:jc w:val="center"/>
              <w:rPr>
                <w:sz w:val="21"/>
                <w:szCs w:val="21"/>
              </w:rPr>
            </w:pPr>
            <w:r>
              <w:rPr>
                <w:sz w:val="21"/>
                <w:szCs w:val="21"/>
              </w:rPr>
              <w:t>97</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4</w:t>
            </w:r>
            <w:bookmarkStart w:id="103" w:name="OLE_LINK54"/>
            <w:bookmarkEnd w:id="103"/>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104" w:name="OLE_LINK52"/>
            <w:r>
              <w:rPr>
                <w:rFonts w:hint="eastAsia"/>
                <w:sz w:val="21"/>
                <w:szCs w:val="21"/>
              </w:rPr>
              <w:t>毕业率（</w:t>
            </w:r>
            <w:r>
              <w:rPr>
                <w:sz w:val="21"/>
                <w:szCs w:val="21"/>
              </w:rPr>
              <w:t>%</w:t>
            </w:r>
            <w:r>
              <w:rPr>
                <w:rFonts w:hint="eastAsia"/>
                <w:sz w:val="21"/>
                <w:szCs w:val="21"/>
              </w:rPr>
              <w:t>）</w:t>
            </w:r>
            <w:bookmarkEnd w:id="104"/>
            <w:r>
              <w:rPr>
                <w:rFonts w:hint="eastAsia"/>
                <w:sz w:val="21"/>
                <w:szCs w:val="21"/>
              </w:rPr>
              <w:t xml:space="preserve"> </w:t>
            </w:r>
          </w:p>
        </w:tc>
        <w:tc>
          <w:tcPr>
            <w:tcW w:w="1921" w:type="dxa"/>
            <w:vAlign w:val="center"/>
          </w:tcPr>
          <w:p>
            <w:pPr>
              <w:jc w:val="center"/>
              <w:rPr>
                <w:sz w:val="21"/>
                <w:szCs w:val="21"/>
              </w:rPr>
            </w:pPr>
            <w:r>
              <w:rPr>
                <w:sz w:val="21"/>
                <w:szCs w:val="21"/>
              </w:rPr>
              <w:t>96.04</w:t>
            </w:r>
            <w:bookmarkStart w:id="105" w:name="OLE_LINK51"/>
            <w:bookmarkEnd w:id="105"/>
          </w:p>
        </w:tc>
        <w:tc>
          <w:tcPr>
            <w:tcW w:w="3261" w:type="dxa"/>
            <w:vAlign w:val="center"/>
          </w:tcPr>
          <w:p>
            <w:pPr>
              <w:jc w:val="center"/>
              <w:rPr>
                <w:sz w:val="21"/>
                <w:szCs w:val="21"/>
              </w:rPr>
            </w:pPr>
            <w:r>
              <w:rP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97</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100</w:t>
            </w:r>
          </w:p>
        </w:tc>
        <w:tc>
          <w:tcPr>
            <w:tcW w:w="3261" w:type="dxa"/>
            <w:vAlign w:val="center"/>
          </w:tcPr>
          <w:p>
            <w:pPr>
              <w:jc w:val="center"/>
              <w:rPr>
                <w:sz w:val="21"/>
                <w:szCs w:val="21"/>
              </w:rPr>
            </w:pPr>
            <w:r>
              <w:rP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91</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93.81</w:t>
            </w:r>
          </w:p>
        </w:tc>
        <w:tc>
          <w:tcPr>
            <w:tcW w:w="3261" w:type="dxa"/>
            <w:vAlign w:val="center"/>
          </w:tcPr>
          <w:p>
            <w:pPr>
              <w:jc w:val="center"/>
              <w:rPr>
                <w:sz w:val="21"/>
                <w:szCs w:val="21"/>
              </w:rPr>
            </w:pPr>
            <w:r>
              <w:rPr>
                <w:sz w:val="21"/>
                <w:szCs w:val="21"/>
              </w:rPr>
              <w:t>95.87</w:t>
            </w:r>
          </w:p>
        </w:tc>
      </w:tr>
    </w:tbl>
    <w:p/>
    <w:p>
      <w:pPr>
        <w:pStyle w:val="4"/>
        <w:rPr>
          <w:rFonts w:ascii="宋体" w:hAnsi="宋体" w:eastAsia="宋体"/>
          <w:b w:val="0"/>
          <w:bCs w:val="0"/>
          <w:sz w:val="24"/>
          <w:szCs w:val="24"/>
        </w:rPr>
      </w:pPr>
      <w:bookmarkStart w:id="106" w:name="_Toc154735795"/>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106"/>
    </w:p>
    <w:p>
      <w:pPr>
        <w:spacing w:line="360" w:lineRule="auto"/>
        <w:ind w:firstLine="480" w:firstLineChars="200"/>
      </w:pPr>
      <w:r>
        <w:rPr>
          <w:rFonts w:hint="eastAsia"/>
        </w:rPr>
        <w:t>根据学校建立的学风相关条例和规章制度，以及《管理学院学风建设纪律文件》，严格要求本专业学生考勤纪律，对学生日常规范管理，加强学风建设。为了让学生更加全面细致地了解学校关于旷课违纪和考场纪律等规定，大一至大四全体学生每人都签署《管理学院学风建设承诺书》。</w:t>
      </w:r>
    </w:p>
    <w:p>
      <w:pPr>
        <w:spacing w:line="360" w:lineRule="auto"/>
        <w:ind w:firstLine="480" w:firstLineChars="200"/>
      </w:pPr>
      <w:r>
        <w:rPr>
          <w:rFonts w:hint="eastAsia"/>
        </w:rPr>
        <w:t>1、学习氛围</w:t>
      </w:r>
    </w:p>
    <w:p>
      <w:pPr>
        <w:spacing w:line="360" w:lineRule="auto"/>
        <w:ind w:firstLine="480" w:firstLineChars="200"/>
      </w:pPr>
      <w:r>
        <w:rPr>
          <w:rFonts w:hint="eastAsia"/>
        </w:rPr>
        <w:t>本专业根据年级特点实施不同的教育措施，为学生的全面发展成长成才服务，形成了良好早晚自习学风。该专业学生成绩总体优异补考率低或重修率低。专业能营造良好的学习氛围，鼓励学生主动学习、积极进取；学生能自觉遵守校纪校规，考风考纪良好；搭建了学生课外科技及文体活动平台，校园文化活动丰富。</w:t>
      </w:r>
    </w:p>
    <w:p>
      <w:pPr>
        <w:spacing w:line="360" w:lineRule="auto"/>
        <w:ind w:firstLine="480" w:firstLineChars="200"/>
      </w:pPr>
      <w:r>
        <w:rPr>
          <w:rFonts w:hint="eastAsia"/>
        </w:rPr>
        <w:t>2、学习风气</w:t>
      </w:r>
    </w:p>
    <w:p>
      <w:pPr>
        <w:spacing w:line="360" w:lineRule="auto"/>
        <w:ind w:firstLine="480" w:firstLineChars="200"/>
      </w:pPr>
      <w:r>
        <w:rPr>
          <w:rFonts w:hint="eastAsia"/>
        </w:rPr>
        <w:t>（1）学生遵守校纪校规、出勤与迟到情况</w:t>
      </w:r>
    </w:p>
    <w:p>
      <w:pPr>
        <w:spacing w:line="360" w:lineRule="auto"/>
        <w:ind w:firstLine="480" w:firstLineChars="200"/>
      </w:pPr>
      <w:r>
        <w:rPr>
          <w:rFonts w:hint="eastAsia"/>
        </w:rPr>
        <w:t>所有学生遵守都遵守校纪校规、认真学习，出勤率、迟到率、作业完成情况都控制在正常状态。任课教师对学生的平时学习情况评价良好。</w:t>
      </w:r>
    </w:p>
    <w:p>
      <w:pPr>
        <w:spacing w:line="360" w:lineRule="auto"/>
        <w:ind w:firstLine="480" w:firstLineChars="200"/>
      </w:pPr>
      <w:r>
        <w:rPr>
          <w:rFonts w:hint="eastAsia"/>
        </w:rPr>
        <w:t>（2）参加专业学习之外的其它学习情况</w:t>
      </w:r>
    </w:p>
    <w:p>
      <w:pPr>
        <w:spacing w:line="360" w:lineRule="auto"/>
        <w:ind w:firstLine="480" w:firstLineChars="200"/>
      </w:pPr>
      <w:r>
        <w:rPr>
          <w:rFonts w:hint="eastAsia"/>
        </w:rPr>
        <w:t>本专业学生通过攻读辅修专业、参加国内外交流学习活动、参加学术讲座活动、报考研究生等多种形式开展专业外学习。其中，本专业学生平均每年参加学术讲座活动不少于5次/人/年；本专业平均每年报考硕士研究生的人数为5人左右；本专业平均每年约有4名同学进行国际交流学习。</w:t>
      </w:r>
    </w:p>
    <w:p>
      <w:pPr>
        <w:spacing w:line="360" w:lineRule="auto"/>
        <w:ind w:firstLine="480" w:firstLineChars="200"/>
      </w:pPr>
      <w:r>
        <w:rPr>
          <w:rFonts w:hint="eastAsia"/>
        </w:rPr>
        <w:t>3、学生指导与学业评估</w:t>
      </w:r>
    </w:p>
    <w:p>
      <w:pPr>
        <w:spacing w:line="360" w:lineRule="auto"/>
        <w:ind w:firstLine="480" w:firstLineChars="200"/>
      </w:pPr>
      <w:r>
        <w:rPr>
          <w:rFonts w:hint="eastAsia"/>
        </w:rPr>
        <w:t>对于本科学生，国际经济与贸易专业已全面实现全程导师制，现已实现100%导师定期指导学生学习和实践的阶段性学习。</w:t>
      </w:r>
      <w:r>
        <w:t>专业教师和学生通过专业座谈会等形式，了解学生学习和生活情况，帮助解决学生学习和生活中存在的问题，国际经济与贸易</w:t>
      </w:r>
      <w:r>
        <w:rPr>
          <w:rFonts w:hint="eastAsia"/>
        </w:rPr>
        <w:t>专业的学生都有学业导师，学业导师对学生的学习进行悉心指导，通过面谈、微信、QQ等方式与学生交流，了解学生情况，学生的学业预警等情况较少。</w:t>
      </w:r>
    </w:p>
    <w:p/>
    <w:p>
      <w:pPr>
        <w:pStyle w:val="3"/>
        <w:spacing w:after="120" w:line="415" w:lineRule="auto"/>
        <w:jc w:val="left"/>
        <w:rPr>
          <w:rFonts w:ascii="宋体" w:hAnsi="宋体"/>
          <w:sz w:val="28"/>
          <w:szCs w:val="28"/>
        </w:rPr>
      </w:pPr>
      <w:bookmarkStart w:id="107" w:name="_Toc154735796"/>
      <w:r>
        <w:rPr>
          <w:rFonts w:ascii="宋体" w:hAnsi="宋体"/>
          <w:sz w:val="28"/>
          <w:szCs w:val="28"/>
        </w:rPr>
        <w:t>8.</w:t>
      </w:r>
      <w:r>
        <w:rPr>
          <w:rFonts w:hint="eastAsia" w:ascii="宋体" w:hAnsi="宋体"/>
          <w:sz w:val="28"/>
          <w:szCs w:val="28"/>
        </w:rPr>
        <w:t>特色发展与案例</w:t>
      </w:r>
      <w:bookmarkEnd w:id="107"/>
    </w:p>
    <w:p>
      <w:pPr>
        <w:spacing w:line="360" w:lineRule="auto"/>
        <w:outlineLvl w:val="0"/>
        <w:rPr>
          <w:b/>
        </w:rPr>
      </w:pPr>
      <w:r>
        <w:rPr>
          <w:rFonts w:hint="eastAsia"/>
          <w:b/>
        </w:rPr>
        <w:t>（一）</w:t>
      </w:r>
      <w:r>
        <w:rPr>
          <w:b/>
        </w:rPr>
        <w:t xml:space="preserve"> </w:t>
      </w:r>
      <w:r>
        <w:rPr>
          <w:rFonts w:hint="eastAsia"/>
          <w:b/>
        </w:rPr>
        <w:t>专业特色分析</w:t>
      </w:r>
    </w:p>
    <w:p>
      <w:pPr>
        <w:spacing w:line="360" w:lineRule="auto"/>
        <w:ind w:firstLine="480" w:firstLineChars="200"/>
      </w:pPr>
      <w:r>
        <w:rPr>
          <w:rFonts w:hint="eastAsia"/>
        </w:rPr>
        <w:t>“国际经济与贸易”专业建设根据学校办学定位，瞄准上海经济发展的趋势、跟踪经济发展中的人才需求，以学科链、专业链对接产业链，在专业建设的理念、思路、体制机制方面有如下重大的创新成果与显著特色。</w:t>
      </w:r>
    </w:p>
    <w:p>
      <w:pPr>
        <w:spacing w:line="360" w:lineRule="auto"/>
        <w:ind w:firstLine="480" w:firstLineChars="200"/>
        <w:outlineLvl w:val="0"/>
      </w:pPr>
      <w:r>
        <w:rPr>
          <w:rFonts w:hint="eastAsia"/>
        </w:rPr>
        <w:t>1．“专业链”推进学科内涵建设</w:t>
      </w:r>
    </w:p>
    <w:p>
      <w:pPr>
        <w:spacing w:line="360" w:lineRule="auto"/>
        <w:ind w:firstLine="480" w:firstLineChars="200"/>
      </w:pPr>
      <w:r>
        <w:rPr>
          <w:rFonts w:hint="eastAsia"/>
        </w:rPr>
        <w:t>上海工程技术大学国际经济与贸易专业的建设项目禀承学校贴近市场，依托产业，服务经济的办学思想和传统，发扬与时俱进的时代精神，坚持科学发展的先进观念，专业建设从“建设模式→改革方向→师资队伍→培养方案→课程设置→教材建设→实践教学→教学方法→教学管理”的整个“专业链”上进行系统规划、分步实施，成效显著。</w:t>
      </w:r>
    </w:p>
    <w:p>
      <w:pPr>
        <w:spacing w:line="360" w:lineRule="auto"/>
        <w:ind w:firstLine="480" w:firstLineChars="200"/>
        <w:outlineLvl w:val="0"/>
      </w:pPr>
      <w:r>
        <w:rPr>
          <w:rFonts w:hint="eastAsia"/>
        </w:rPr>
        <w:t>2．“课程链”夯实专业建设基础</w:t>
      </w:r>
    </w:p>
    <w:p>
      <w:pPr>
        <w:spacing w:line="360" w:lineRule="auto"/>
        <w:ind w:firstLine="480" w:firstLineChars="200"/>
        <w:outlineLvl w:val="0"/>
      </w:pPr>
      <w:r>
        <w:rPr>
          <w:rFonts w:hint="eastAsia"/>
        </w:rPr>
        <w:t>依托AACSB建设契机，贯通精英商学院的建设理念，打造“通识课——学科基础课——专业课——实习实训课”的培养链条，核心骨干课程遵循“经济学理论课—专业核心课—研究方法课—外语提高课—实习实训课—综合拓展提升课”的思路设计课堂体系，定期召开学科建设研讨课，精心打磨每一门课程和每一节课堂，依托“课程链”夯实专业建设基础。</w:t>
      </w:r>
    </w:p>
    <w:p>
      <w:pPr>
        <w:spacing w:line="360" w:lineRule="auto"/>
        <w:ind w:firstLine="480" w:firstLineChars="200"/>
        <w:outlineLvl w:val="0"/>
      </w:pPr>
      <w:r>
        <w:t>3</w:t>
      </w:r>
      <w:r>
        <w:rPr>
          <w:rFonts w:hint="eastAsia"/>
        </w:rPr>
        <w:t>．“实践链”巩固人才培养成果</w:t>
      </w:r>
    </w:p>
    <w:p>
      <w:pPr>
        <w:spacing w:line="360" w:lineRule="auto"/>
        <w:ind w:firstLine="480" w:firstLineChars="200"/>
      </w:pPr>
      <w:r>
        <w:rPr>
          <w:rFonts w:hint="eastAsia"/>
        </w:rPr>
        <w:t>我校国际经济与贸易专业建设过程中，依托产学研合作的基础，构筑了“实训、实验与实习贯通”的“实践教学链”，实现了“基础—综合—创新”层次递进的实验与教学体系，打造了特色鲜明的“专业理论＋外贸实践＋产学合作＋创新能力”培养模式，在教学改革和人才培养模式上取得突破性的进展。</w:t>
      </w:r>
    </w:p>
    <w:p>
      <w:pPr>
        <w:spacing w:line="360" w:lineRule="auto"/>
        <w:ind w:firstLine="480" w:firstLineChars="200"/>
        <w:outlineLvl w:val="0"/>
      </w:pPr>
      <w:r>
        <w:t>4</w:t>
      </w:r>
      <w:r>
        <w:rPr>
          <w:rFonts w:hint="eastAsia"/>
        </w:rPr>
        <w:t>．“师资链”形成创新型教学团队建设机制</w:t>
      </w:r>
    </w:p>
    <w:p>
      <w:pPr>
        <w:spacing w:line="360" w:lineRule="auto"/>
        <w:ind w:firstLine="480" w:firstLineChars="200"/>
      </w:pPr>
      <w:r>
        <w:rPr>
          <w:rFonts w:hint="eastAsia"/>
        </w:rPr>
        <w:t>我校国际经济与贸易专业建设开拓了一条“教学与科研相结合——科研反哺教学——理论与实践相结合——实践提升理论”的教师教学水平提高路径，形成了“讲师-副教授-教授”、“专业师资+教辅人员”、“学校导师+行业导师”等职责明确、特色鲜明的师资链，同时结合专业特点，形成了“校企合一”的主讲团队</w:t>
      </w:r>
      <w:r>
        <w:t xml:space="preserve"> </w:t>
      </w:r>
      <w:r>
        <w:rPr>
          <w:rFonts w:hint="eastAsia"/>
        </w:rPr>
        <w:t>，组建了“专兼结合”的专家队伍，打造了“学缘广泛”的教学团队。</w:t>
      </w:r>
    </w:p>
    <w:p>
      <w:pPr>
        <w:spacing w:line="360" w:lineRule="auto"/>
        <w:outlineLvl w:val="0"/>
        <w:rPr>
          <w:b/>
        </w:rPr>
      </w:pPr>
      <w:r>
        <w:rPr>
          <w:rFonts w:hint="eastAsia"/>
          <w:b/>
        </w:rPr>
        <w:t>（二）专业特色案例</w:t>
      </w:r>
    </w:p>
    <w:p>
      <w:pPr>
        <w:spacing w:line="360" w:lineRule="auto"/>
        <w:ind w:left="480"/>
        <w:rPr>
          <w:lang w:eastAsia="zh-Hans"/>
        </w:rPr>
      </w:pPr>
      <w:r>
        <w:rPr>
          <w:rFonts w:hint="eastAsia"/>
        </w:rPr>
        <w:t>1．依托“</w:t>
      </w:r>
      <w:r>
        <w:rPr>
          <w:rFonts w:hint="eastAsia"/>
          <w:lang w:eastAsia="zh-Hans"/>
        </w:rPr>
        <w:t>企业</w:t>
      </w:r>
      <w:r>
        <w:rPr>
          <w:rFonts w:hint="eastAsia"/>
        </w:rPr>
        <w:t>专</w:t>
      </w:r>
      <w:r>
        <w:rPr>
          <w:rFonts w:hint="eastAsia"/>
          <w:lang w:eastAsia="zh-Hans"/>
        </w:rPr>
        <w:t>家</w:t>
      </w:r>
      <w:r>
        <w:rPr>
          <w:lang w:eastAsia="zh-Hans"/>
        </w:rPr>
        <w:t>进课堂</w:t>
      </w:r>
      <w:r>
        <w:rPr>
          <w:rFonts w:hint="eastAsia"/>
        </w:rPr>
        <w:t>”，强化</w:t>
      </w:r>
      <w:r>
        <w:rPr>
          <w:lang w:eastAsia="zh-Hans"/>
        </w:rPr>
        <w:t>专业</w:t>
      </w:r>
      <w:r>
        <w:rPr>
          <w:rFonts w:hint="eastAsia"/>
        </w:rPr>
        <w:t>实习</w:t>
      </w:r>
      <w:r>
        <w:rPr>
          <w:lang w:eastAsia="zh-Hans"/>
        </w:rPr>
        <w:t>实践基地建设</w:t>
      </w:r>
    </w:p>
    <w:p>
      <w:pPr>
        <w:spacing w:line="360" w:lineRule="auto"/>
        <w:ind w:firstLine="420"/>
        <w:rPr>
          <w:lang w:eastAsia="zh-Hans"/>
        </w:rPr>
      </w:pPr>
      <w:r>
        <w:rPr>
          <w:rFonts w:hint="eastAsia"/>
        </w:rPr>
        <w:t>国贸专业历来重视与企业共建实习实践基地，共同培养学生。2023年工程大首次开展“</w:t>
      </w:r>
      <w:r>
        <w:rPr>
          <w:rFonts w:hint="eastAsia"/>
          <w:lang w:eastAsia="zh-Hans"/>
        </w:rPr>
        <w:t>企业</w:t>
      </w:r>
      <w:r>
        <w:rPr>
          <w:rFonts w:hint="eastAsia"/>
        </w:rPr>
        <w:t>专</w:t>
      </w:r>
      <w:r>
        <w:rPr>
          <w:rFonts w:hint="eastAsia"/>
          <w:lang w:eastAsia="zh-Hans"/>
        </w:rPr>
        <w:t>家</w:t>
      </w:r>
      <w:r>
        <w:rPr>
          <w:lang w:eastAsia="zh-Hans"/>
        </w:rPr>
        <w:t>进课堂</w:t>
      </w:r>
      <w:r>
        <w:rPr>
          <w:rFonts w:hint="eastAsia"/>
        </w:rPr>
        <w:t>”活动，国贸专业借此契机，于</w:t>
      </w:r>
      <w:r>
        <w:rPr>
          <w:lang w:eastAsia="zh-Hans"/>
        </w:rPr>
        <w:t>2023</w:t>
      </w:r>
      <w:r>
        <w:rPr>
          <w:rFonts w:hint="eastAsia"/>
          <w:lang w:eastAsia="zh-Hans"/>
        </w:rPr>
        <w:t>年6月</w:t>
      </w:r>
      <w:r>
        <w:rPr>
          <w:lang w:eastAsia="zh-Hans"/>
        </w:rPr>
        <w:t>邀请</w:t>
      </w:r>
      <w:r>
        <w:rPr>
          <w:rFonts w:hint="eastAsia"/>
          <w:lang w:eastAsia="zh-Hans"/>
        </w:rPr>
        <w:t>校外</w:t>
      </w:r>
      <w:r>
        <w:rPr>
          <w:lang w:eastAsia="zh-Hans"/>
        </w:rPr>
        <w:t>兼职导师</w:t>
      </w:r>
      <w:r>
        <w:rPr>
          <w:rFonts w:hint="eastAsia"/>
          <w:lang w:eastAsia="zh-Hans"/>
        </w:rPr>
        <w:t>上海</w:t>
      </w:r>
      <w:r>
        <w:rPr>
          <w:lang w:eastAsia="zh-Hans"/>
        </w:rPr>
        <w:t>科凌国际贸易有限公司执行总裁</w:t>
      </w:r>
      <w:r>
        <w:rPr>
          <w:rFonts w:hint="eastAsia"/>
          <w:lang w:eastAsia="zh-Hans"/>
        </w:rPr>
        <w:t>陶</w:t>
      </w:r>
      <w:r>
        <w:rPr>
          <w:lang w:eastAsia="zh-Hans"/>
        </w:rPr>
        <w:t>峻</w:t>
      </w:r>
      <w:r>
        <w:rPr>
          <w:rFonts w:hint="eastAsia"/>
          <w:lang w:eastAsia="zh-Hans"/>
        </w:rPr>
        <w:t>走</w:t>
      </w:r>
      <w:r>
        <w:rPr>
          <w:lang w:eastAsia="zh-Hans"/>
        </w:rPr>
        <w:t>进</w:t>
      </w:r>
      <w:r>
        <w:rPr>
          <w:rFonts w:hint="eastAsia"/>
          <w:lang w:eastAsia="zh-Hans"/>
        </w:rPr>
        <w:t>《单证</w:t>
      </w:r>
      <w:r>
        <w:rPr>
          <w:lang w:eastAsia="zh-Hans"/>
        </w:rPr>
        <w:t>业务实习</w:t>
      </w:r>
      <w:r>
        <w:rPr>
          <w:rFonts w:hint="eastAsia"/>
          <w:lang w:eastAsia="zh-Hans"/>
        </w:rPr>
        <w:t>》课</w:t>
      </w:r>
      <w:r>
        <w:rPr>
          <w:lang w:eastAsia="zh-Hans"/>
        </w:rPr>
        <w:t>堂，</w:t>
      </w:r>
      <w:r>
        <w:rPr>
          <w:rFonts w:hint="eastAsia"/>
          <w:lang w:eastAsia="zh-Hans"/>
        </w:rPr>
        <w:t>为2021级</w:t>
      </w:r>
      <w:r>
        <w:rPr>
          <w:lang w:eastAsia="zh-Hans"/>
        </w:rPr>
        <w:t>国际经济与贸易学生</w:t>
      </w:r>
      <w:r>
        <w:rPr>
          <w:rFonts w:hint="eastAsia"/>
          <w:lang w:eastAsia="zh-Hans"/>
        </w:rPr>
        <w:t>开展外贸</w:t>
      </w:r>
      <w:r>
        <w:rPr>
          <w:lang w:eastAsia="zh-Hans"/>
        </w:rPr>
        <w:t>实践教学</w:t>
      </w:r>
      <w:r>
        <w:rPr>
          <w:rFonts w:hint="eastAsia"/>
          <w:lang w:eastAsia="zh-Hans"/>
        </w:rPr>
        <w:t>活动</w:t>
      </w:r>
      <w:r>
        <w:rPr>
          <w:lang w:eastAsia="zh-Hans"/>
        </w:rPr>
        <w:t>。</w:t>
      </w:r>
      <w:r>
        <w:rPr>
          <w:rFonts w:hint="eastAsia"/>
          <w:lang w:eastAsia="zh-Hans"/>
        </w:rPr>
        <w:t>课堂上，陶总以企业实务案例开篇,为学生阐释了国际贸易实务</w:t>
      </w:r>
      <w:r>
        <w:rPr>
          <w:lang w:eastAsia="zh-Hans"/>
        </w:rPr>
        <w:t>中的单证操作知识</w:t>
      </w:r>
      <w:r>
        <w:rPr>
          <w:rFonts w:hint="eastAsia"/>
          <w:lang w:eastAsia="zh-Hans"/>
        </w:rPr>
        <w:t>。他在课堂上的讲授让书本上的理论活起来、动起来，使学生能更加立体的认知外贸业务。课堂气氛活跃，同学们纷纷表示受益匪浅，通过与校外导师的近距离交流，既补充了书本外的实践知识，有助于提升专业技能，又得到了启迪与鼓舞。进一步启发和引导同学们对国际经济</w:t>
      </w:r>
      <w:r>
        <w:rPr>
          <w:lang w:eastAsia="zh-Hans"/>
        </w:rPr>
        <w:t>与贸易</w:t>
      </w:r>
      <w:r>
        <w:rPr>
          <w:rFonts w:hint="eastAsia"/>
          <w:lang w:eastAsia="zh-Hans"/>
        </w:rPr>
        <w:t>专业知识学习以及未来职业发展的思考。同时</w:t>
      </w:r>
      <w:r>
        <w:rPr>
          <w:lang w:eastAsia="zh-Hans"/>
        </w:rPr>
        <w:t>，</w:t>
      </w:r>
      <w:r>
        <w:rPr>
          <w:rFonts w:hint="eastAsia"/>
          <w:lang w:eastAsia="zh-Hans"/>
        </w:rPr>
        <w:t>学院</w:t>
      </w:r>
      <w:r>
        <w:rPr>
          <w:lang w:eastAsia="zh-Hans"/>
        </w:rPr>
        <w:t>与</w:t>
      </w:r>
      <w:r>
        <w:rPr>
          <w:rFonts w:hint="eastAsia"/>
          <w:lang w:eastAsia="zh-Hans"/>
        </w:rPr>
        <w:t>上海</w:t>
      </w:r>
      <w:r>
        <w:rPr>
          <w:lang w:eastAsia="zh-Hans"/>
        </w:rPr>
        <w:t>科凌国际贸易有限公司</w:t>
      </w:r>
      <w:r>
        <w:rPr>
          <w:rFonts w:hint="eastAsia"/>
          <w:lang w:eastAsia="zh-Hans"/>
        </w:rPr>
        <w:t>和</w:t>
      </w:r>
      <w:r>
        <w:rPr>
          <w:lang w:eastAsia="zh-Hans"/>
        </w:rPr>
        <w:t>江苏科凌医疗器械有限公司共同建立了</w:t>
      </w:r>
      <w:r>
        <w:rPr>
          <w:rFonts w:hint="eastAsia"/>
          <w:lang w:eastAsia="zh-Hans"/>
        </w:rPr>
        <w:t>产学</w:t>
      </w:r>
      <w:r>
        <w:rPr>
          <w:lang w:eastAsia="zh-Hans"/>
        </w:rPr>
        <w:t>合作教育基地，达成</w:t>
      </w:r>
      <w:r>
        <w:rPr>
          <w:rFonts w:hint="eastAsia"/>
          <w:lang w:eastAsia="zh-Hans"/>
        </w:rPr>
        <w:t>长期</w:t>
      </w:r>
      <w:r>
        <w:rPr>
          <w:lang w:eastAsia="zh-Hans"/>
        </w:rPr>
        <w:t>合作，实现资源共享，优势互补。</w:t>
      </w:r>
    </w:p>
    <w:p>
      <w:pPr>
        <w:spacing w:line="360" w:lineRule="auto"/>
        <w:ind w:left="480"/>
        <w:rPr>
          <w:lang w:eastAsia="zh-Hans"/>
        </w:rPr>
      </w:pPr>
      <w:r>
        <w:drawing>
          <wp:inline distT="0" distB="0" distL="0" distR="0">
            <wp:extent cx="4028440" cy="2343150"/>
            <wp:effectExtent l="0" t="0" r="0" b="0"/>
            <wp:docPr id="4" name="图片 4" descr="C:\Users\Administrator\Documents\WeChat Files\wxid_z68nh1ujk0j121\FileStorage\Temp\fcdcbdc3f4bc3e7f4f32c443c90a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wxid_z68nh1ujk0j121\FileStorage\Temp\fcdcbdc3f4bc3e7f4f32c443c90a4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38974" cy="2349253"/>
                    </a:xfrm>
                    <a:prstGeom prst="rect">
                      <a:avLst/>
                    </a:prstGeom>
                    <a:noFill/>
                    <a:ln>
                      <a:noFill/>
                    </a:ln>
                  </pic:spPr>
                </pic:pic>
              </a:graphicData>
            </a:graphic>
          </wp:inline>
        </w:drawing>
      </w:r>
    </w:p>
    <w:p>
      <w:pPr>
        <w:pStyle w:val="36"/>
        <w:spacing w:line="360" w:lineRule="auto"/>
        <w:ind w:left="840" w:firstLine="0" w:firstLineChars="0"/>
        <w:rPr>
          <w:rFonts w:ascii="宋体" w:hAnsi="宋体" w:cs="宋体"/>
          <w:kern w:val="0"/>
          <w:sz w:val="24"/>
          <w:lang w:eastAsia="zh-Hans"/>
        </w:rPr>
      </w:pPr>
    </w:p>
    <w:p>
      <w:pPr>
        <w:spacing w:line="360" w:lineRule="auto"/>
        <w:ind w:firstLine="420"/>
      </w:pPr>
      <w:r>
        <w:rPr>
          <w:rFonts w:hint="eastAsia"/>
        </w:rPr>
        <w:t>2</w:t>
      </w:r>
      <w:r>
        <w:rPr>
          <w:lang w:eastAsia="zh-Hans"/>
        </w:rPr>
        <w:t>.</w:t>
      </w:r>
      <w:r>
        <w:rPr>
          <w:rFonts w:hint="eastAsia"/>
        </w:rPr>
        <w:t>创立</w:t>
      </w:r>
      <w:r>
        <w:rPr>
          <w:rFonts w:hint="eastAsia"/>
          <w:lang w:eastAsia="zh-Hans"/>
        </w:rPr>
        <w:t>“跨文化交流俱乐部”</w:t>
      </w:r>
      <w:r>
        <w:rPr>
          <w:rFonts w:hint="eastAsia"/>
        </w:rPr>
        <w:t>，促进</w:t>
      </w:r>
      <w:r>
        <w:rPr>
          <w:rFonts w:hint="eastAsia"/>
          <w:lang w:eastAsia="zh-Hans"/>
        </w:rPr>
        <w:t>国贸</w:t>
      </w:r>
      <w:r>
        <w:rPr>
          <w:lang w:eastAsia="zh-Hans"/>
        </w:rPr>
        <w:t>专业中外学生</w:t>
      </w:r>
      <w:r>
        <w:rPr>
          <w:rFonts w:hint="eastAsia"/>
        </w:rPr>
        <w:t>文化交流</w:t>
      </w:r>
    </w:p>
    <w:p>
      <w:pPr>
        <w:spacing w:line="360" w:lineRule="auto"/>
        <w:ind w:firstLine="420"/>
      </w:pPr>
      <w:r>
        <w:rPr>
          <w:rFonts w:hint="eastAsia"/>
        </w:rPr>
        <w:t>为了更进一步拓宽学生的国际化视野，同时促进</w:t>
      </w:r>
      <w:r>
        <w:rPr>
          <w:rFonts w:hint="eastAsia"/>
          <w:lang w:eastAsia="zh-Hans"/>
        </w:rPr>
        <w:t>国贸</w:t>
      </w:r>
      <w:r>
        <w:rPr>
          <w:lang w:eastAsia="zh-Hans"/>
        </w:rPr>
        <w:t>专业中外学生</w:t>
      </w:r>
      <w:r>
        <w:rPr>
          <w:rFonts w:hint="eastAsia"/>
        </w:rPr>
        <w:t>文化交流，国贸专业积极搭建平台，2023年创立了</w:t>
      </w:r>
      <w:r>
        <w:rPr>
          <w:rFonts w:hint="eastAsia"/>
          <w:lang w:eastAsia="zh-Hans"/>
        </w:rPr>
        <w:t>“跨文化交流俱乐部”</w:t>
      </w:r>
      <w:r>
        <w:rPr>
          <w:rFonts w:hint="eastAsia"/>
        </w:rPr>
        <w:t>并成功开展了</w:t>
      </w:r>
      <w:r>
        <w:rPr>
          <w:rFonts w:hint="eastAsia"/>
          <w:lang w:eastAsia="zh-Hans"/>
        </w:rPr>
        <w:t>羽”你同行留学生羽毛球友谊赛</w:t>
      </w:r>
      <w:r>
        <w:rPr>
          <w:rFonts w:hint="eastAsia"/>
        </w:rPr>
        <w:t>、</w:t>
      </w:r>
      <w:r>
        <w:rPr>
          <w:lang w:eastAsia="zh-Hans"/>
        </w:rPr>
        <w:t>国际社交茶话会</w:t>
      </w:r>
      <w:r>
        <w:rPr>
          <w:rFonts w:hint="eastAsia"/>
        </w:rPr>
        <w:t>、</w:t>
      </w:r>
      <w:r>
        <w:rPr>
          <w:lang w:eastAsia="zh-Hans"/>
        </w:rPr>
        <w:t>“见微知著，笔墨传情”毛笔字书法比赛</w:t>
      </w:r>
      <w:r>
        <w:rPr>
          <w:rFonts w:hint="eastAsia"/>
        </w:rPr>
        <w:t>等活动。</w:t>
      </w:r>
    </w:p>
    <w:p>
      <w:pPr>
        <w:spacing w:line="360" w:lineRule="auto"/>
        <w:ind w:left="480" w:firstLine="419"/>
      </w:pPr>
      <w:r>
        <w:drawing>
          <wp:inline distT="0" distB="0" distL="114300" distR="114300">
            <wp:extent cx="2153285" cy="1339850"/>
            <wp:effectExtent l="0" t="0" r="18415" b="1270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2153285" cy="1339850"/>
                    </a:xfrm>
                    <a:prstGeom prst="rect">
                      <a:avLst/>
                    </a:prstGeom>
                    <a:noFill/>
                    <a:ln w="9525">
                      <a:noFill/>
                    </a:ln>
                  </pic:spPr>
                </pic:pic>
              </a:graphicData>
            </a:graphic>
          </wp:inline>
        </w:drawing>
      </w:r>
      <w:r>
        <w:rPr>
          <w:rFonts w:hint="eastAsia"/>
        </w:rPr>
        <w:t xml:space="preserve">  </w:t>
      </w:r>
      <w:r>
        <w:drawing>
          <wp:inline distT="0" distB="0" distL="0" distR="0">
            <wp:extent cx="2110105" cy="1339215"/>
            <wp:effectExtent l="0" t="0" r="4445" b="13335"/>
            <wp:docPr id="8" name="Image1"/>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2" cstate="print"/>
                    <a:srcRect/>
                    <a:stretch>
                      <a:fillRect/>
                    </a:stretch>
                  </pic:blipFill>
                  <pic:spPr>
                    <a:xfrm>
                      <a:off x="0" y="0"/>
                      <a:ext cx="2110105" cy="1339215"/>
                    </a:xfrm>
                    <a:prstGeom prst="rect">
                      <a:avLst/>
                    </a:prstGeom>
                  </pic:spPr>
                </pic:pic>
              </a:graphicData>
            </a:graphic>
          </wp:inline>
        </w:drawing>
      </w:r>
    </w:p>
    <w:p>
      <w:pPr>
        <w:spacing w:line="360" w:lineRule="auto"/>
        <w:ind w:left="480" w:firstLine="419"/>
      </w:pPr>
      <w:r>
        <w:drawing>
          <wp:inline distT="0" distB="0" distL="0" distR="0">
            <wp:extent cx="2273300" cy="1428750"/>
            <wp:effectExtent l="0" t="0" r="12700" b="0"/>
            <wp:docPr id="9" name="Image1"/>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3" cstate="print"/>
                    <a:srcRect/>
                    <a:stretch>
                      <a:fillRect/>
                    </a:stretch>
                  </pic:blipFill>
                  <pic:spPr>
                    <a:xfrm>
                      <a:off x="0" y="0"/>
                      <a:ext cx="2273300" cy="1428750"/>
                    </a:xfrm>
                    <a:prstGeom prst="rect">
                      <a:avLst/>
                    </a:prstGeom>
                  </pic:spPr>
                </pic:pic>
              </a:graphicData>
            </a:graphic>
          </wp:inline>
        </w:drawing>
      </w:r>
      <w:r>
        <w:rPr>
          <w:rFonts w:hint="eastAsia"/>
        </w:rPr>
        <w:t xml:space="preserve">  </w:t>
      </w:r>
      <w:r>
        <w:drawing>
          <wp:inline distT="0" distB="0" distL="114300" distR="114300">
            <wp:extent cx="2105025" cy="1403985"/>
            <wp:effectExtent l="0" t="0" r="9525" b="5715"/>
            <wp:docPr id="10" name="图片 10" descr="3a6da037bb8fd665f9d3cfb48e96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a6da037bb8fd665f9d3cfb48e96ae7"/>
                    <pic:cNvPicPr>
                      <a:picLocks noChangeAspect="1"/>
                    </pic:cNvPicPr>
                  </pic:nvPicPr>
                  <pic:blipFill>
                    <a:blip r:embed="rId14"/>
                    <a:stretch>
                      <a:fillRect/>
                    </a:stretch>
                  </pic:blipFill>
                  <pic:spPr>
                    <a:xfrm>
                      <a:off x="0" y="0"/>
                      <a:ext cx="2105025" cy="1403985"/>
                    </a:xfrm>
                    <a:prstGeom prst="rect">
                      <a:avLst/>
                    </a:prstGeom>
                  </pic:spPr>
                </pic:pic>
              </a:graphicData>
            </a:graphic>
          </wp:inline>
        </w:drawing>
      </w:r>
    </w:p>
    <w:p>
      <w:pPr>
        <w:spacing w:line="360" w:lineRule="auto"/>
        <w:ind w:firstLine="420"/>
      </w:pPr>
      <w:r>
        <w:rPr>
          <w:rFonts w:hint="eastAsia"/>
          <w:lang w:eastAsia="zh-Hans"/>
        </w:rPr>
        <w:t>“跨文化交流俱乐部”</w:t>
      </w:r>
      <w:r>
        <w:rPr>
          <w:rFonts w:hint="eastAsia"/>
        </w:rPr>
        <w:t>是一个</w:t>
      </w:r>
      <w:r>
        <w:rPr>
          <w:lang w:eastAsia="zh-Hans"/>
        </w:rPr>
        <w:t>增加友谊交流，促进文化交融</w:t>
      </w:r>
      <w:r>
        <w:rPr>
          <w:rFonts w:hint="eastAsia"/>
        </w:rPr>
        <w:t>的平台，深受中外学生欢迎。在</w:t>
      </w:r>
      <w:r>
        <w:rPr>
          <w:rFonts w:hint="eastAsia"/>
          <w:lang w:eastAsia="zh-Hans"/>
        </w:rPr>
        <w:t>“跨文化交流俱乐部”</w:t>
      </w:r>
      <w:r>
        <w:rPr>
          <w:rFonts w:hint="eastAsia"/>
        </w:rPr>
        <w:t>里，中国学生能够近距离了解“一带一路”国家文化并锻炼提升与多元文化人群沟通交往的能力，</w:t>
      </w:r>
      <w:r>
        <w:rPr>
          <w:lang w:eastAsia="zh-Hans"/>
        </w:rPr>
        <w:t>增强民族自信心</w:t>
      </w:r>
      <w:r>
        <w:rPr>
          <w:rFonts w:hint="eastAsia"/>
        </w:rPr>
        <w:t>和文化自信；同时使留学生体验到中国文化的博大精深，更好的融入到校园学习和生活。</w:t>
      </w:r>
    </w:p>
    <w:p/>
    <w:p>
      <w:pPr>
        <w:pStyle w:val="3"/>
        <w:spacing w:after="120" w:line="415" w:lineRule="auto"/>
        <w:jc w:val="left"/>
        <w:rPr>
          <w:rFonts w:ascii="宋体" w:hAnsi="宋体"/>
          <w:sz w:val="28"/>
          <w:szCs w:val="28"/>
        </w:rPr>
      </w:pPr>
      <w:bookmarkStart w:id="108" w:name="_Toc154735797"/>
      <w:r>
        <w:rPr>
          <w:rFonts w:ascii="宋体" w:hAnsi="宋体"/>
          <w:sz w:val="28"/>
          <w:szCs w:val="28"/>
        </w:rPr>
        <w:t>9.</w:t>
      </w:r>
      <w:r>
        <w:rPr>
          <w:rFonts w:hint="eastAsia" w:ascii="宋体" w:hAnsi="宋体"/>
          <w:sz w:val="28"/>
          <w:szCs w:val="28"/>
        </w:rPr>
        <w:t>问题与对策</w:t>
      </w:r>
      <w:bookmarkEnd w:id="108"/>
    </w:p>
    <w:p>
      <w:pPr>
        <w:snapToGrid w:val="0"/>
        <w:spacing w:line="360" w:lineRule="auto"/>
        <w:outlineLvl w:val="0"/>
        <w:rPr>
          <w:b/>
        </w:rPr>
      </w:pPr>
      <w:r>
        <w:rPr>
          <w:rFonts w:hint="eastAsia"/>
          <w:b/>
        </w:rPr>
        <w:t>（一）存在问题及原因</w:t>
      </w:r>
    </w:p>
    <w:p>
      <w:pPr>
        <w:snapToGrid w:val="0"/>
        <w:spacing w:line="360" w:lineRule="auto"/>
        <w:ind w:firstLine="482" w:firstLineChars="200"/>
        <w:outlineLvl w:val="0"/>
        <w:rPr>
          <w:b/>
        </w:rPr>
      </w:pPr>
      <w:r>
        <w:rPr>
          <w:rFonts w:hint="eastAsia"/>
          <w:b/>
        </w:rPr>
        <w:t>1．学科方向与</w:t>
      </w:r>
      <w:r>
        <w:rPr>
          <w:rFonts w:hint="eastAsia"/>
          <w:b/>
          <w:bCs/>
        </w:rPr>
        <w:t>专业教学科研</w:t>
      </w:r>
      <w:r>
        <w:rPr>
          <w:rFonts w:hint="eastAsia"/>
          <w:b/>
        </w:rPr>
        <w:t>需要与时俱进</w:t>
      </w:r>
    </w:p>
    <w:p>
      <w:pPr>
        <w:snapToGrid w:val="0"/>
        <w:spacing w:line="360" w:lineRule="auto"/>
        <w:ind w:firstLine="480" w:firstLineChars="200"/>
      </w:pPr>
      <w:r>
        <w:rPr>
          <w:rFonts w:hint="eastAsia"/>
        </w:rPr>
        <w:t>当今世界正面临百年未有之大变局，新一轮国际经贸规则正在加速重构。全球经贸规则调整呈现出新特征与新趋势，给以中国为代表的新兴发展中经济体深度参与经济全球化带来一系列重要影响。当前</w:t>
      </w:r>
      <w:r>
        <w:t>世界秩序和全球经贸格局将会发生重大改变，全球经济将步入新的低迷期、大国博弈开启新征程、全球经济贸易政策不确定性达到新高度</w:t>
      </w:r>
      <w:r>
        <w:rPr>
          <w:rFonts w:hint="eastAsia"/>
        </w:rPr>
        <w:t>，这些都对国际经济与贸易专业人才培养提出了新的更高的挑战和要求。鉴于当前国际贸易投资新发展的挑战，本专业学科方向需要进一步凝练，教学与科研之间的联动有待深化。专业人才培养需要更好地面向行业发展，产学研合作方式需要根据产业发展不断创新。与产业界的合作也有待进一步加强，校企合作培养人才的体制机制有待进一步创新和完善。</w:t>
      </w:r>
    </w:p>
    <w:p>
      <w:pPr>
        <w:snapToGrid w:val="0"/>
        <w:spacing w:line="360" w:lineRule="auto"/>
        <w:ind w:firstLine="482" w:firstLineChars="200"/>
        <w:outlineLvl w:val="0"/>
        <w:rPr>
          <w:b/>
        </w:rPr>
      </w:pPr>
      <w:r>
        <w:rPr>
          <w:rFonts w:hint="eastAsia"/>
          <w:b/>
        </w:rPr>
        <w:t>2．国际化培养模式尚未形成</w:t>
      </w:r>
    </w:p>
    <w:p>
      <w:pPr>
        <w:spacing w:line="360" w:lineRule="auto"/>
        <w:ind w:firstLine="480" w:firstLineChars="200"/>
      </w:pPr>
      <w:r>
        <w:rPr>
          <w:rFonts w:hint="eastAsia"/>
        </w:rPr>
        <w:t>随着全球经济一体化进程的加快，培养国际化应用型的国际经济与贸易人才成为企业界和教育界共同关注的焦点。需要在现有的产学研结合的人才培养模式、国内外合作办学以及双语教育的基础上，发展出新的教育模式。通过国际化视角的养成教育和应用、实践能力的实战培养，打造能够适应经济全球化背景下的复合型高层次专业人才。本专业虽然近年来有多名老师赴国外高水平大学或科研机构访学或任职，也有多名学生出国交流或攻读学位，但是与国外合作办学的深度仍然不足；招收的留学生人数虽然增长较快，但是生源质量有待进一步提高。国际化培养模式对于培养学生的全球化视野具有重要意义，因此，形成国际化人才培养模式应成为本专业今后发展的重点之一。</w:t>
      </w:r>
    </w:p>
    <w:p>
      <w:pPr>
        <w:snapToGrid w:val="0"/>
        <w:spacing w:line="360" w:lineRule="auto"/>
        <w:ind w:firstLine="482" w:firstLineChars="200"/>
        <w:outlineLvl w:val="0"/>
        <w:rPr>
          <w:b/>
        </w:rPr>
      </w:pPr>
      <w:bookmarkStart w:id="109" w:name="_Hlk160037109"/>
      <w:r>
        <w:rPr>
          <w:rFonts w:hint="eastAsia"/>
          <w:b/>
        </w:rPr>
        <w:t>3．</w:t>
      </w:r>
      <w:bookmarkEnd w:id="109"/>
      <w:r>
        <w:rPr>
          <w:rFonts w:hint="eastAsia"/>
          <w:b/>
        </w:rPr>
        <w:t>学生的创新能力有待进一步提高</w:t>
      </w:r>
    </w:p>
    <w:p>
      <w:pPr>
        <w:snapToGrid w:val="0"/>
        <w:spacing w:line="360" w:lineRule="auto"/>
        <w:ind w:firstLine="480" w:firstLineChars="200"/>
      </w:pPr>
      <w:r>
        <w:rPr>
          <w:rFonts w:hint="eastAsia"/>
        </w:rPr>
        <w:t>当前，大学生学习主动性欠缺问题具有一定的普遍性。本专业生源中高考文史类学生相对较多，学生数理基础相对较弱，实践创新能力有待进一步提升。虽然在本专业的教学中，学生都能够适应学校与老师的要求，完成各项学业，并顺利毕业。但是，如何清晰学生的专业认知、加强学生学习主动性和积极性，培养学生创新能力，是本专业教学团队近年来一直致力解决的问题。</w:t>
      </w:r>
    </w:p>
    <w:p>
      <w:pPr>
        <w:snapToGrid w:val="0"/>
        <w:spacing w:line="360" w:lineRule="auto"/>
        <w:ind w:firstLine="482" w:firstLineChars="200"/>
        <w:rPr>
          <w:b/>
        </w:rPr>
      </w:pPr>
      <w:r>
        <w:rPr>
          <w:b/>
        </w:rPr>
        <w:t>4</w:t>
      </w:r>
      <w:r>
        <w:rPr>
          <w:rFonts w:hint="eastAsia"/>
          <w:b/>
        </w:rPr>
        <w:t>．师资队伍建设有待进一步加强</w:t>
      </w:r>
    </w:p>
    <w:p>
      <w:pPr>
        <w:snapToGrid w:val="0"/>
        <w:spacing w:line="360" w:lineRule="auto"/>
        <w:ind w:firstLine="480" w:firstLineChars="200"/>
      </w:pPr>
      <w:bookmarkStart w:id="110" w:name="_Hlk139210894"/>
      <w:r>
        <w:rPr>
          <w:rFonts w:hint="eastAsia"/>
        </w:rPr>
        <w:t>国际经济与贸易专业是一个实践性较强的专业，本专业目前具有行业实践经验、熟悉实务最新进展的教师偏少，在师资队伍建设时应予以加强。</w:t>
      </w:r>
      <w:bookmarkEnd w:id="110"/>
      <w:r>
        <w:rPr>
          <w:rFonts w:hint="eastAsia"/>
        </w:rPr>
        <w:t>服务贸易、跨境电商等国际贸易新模式是我国近年来快速发展的领域，新的商业模式和业态层出不穷，而服务经济领域的人才需求和培养有其自身的特点，这对专业人才的培养提出了新的要求，目前本专业教师的知识结构还有待进一步优化。另外本专业的外语教学能力有待加强，全英语、双语专业课程数量和质量有待进一步提升。</w:t>
      </w:r>
    </w:p>
    <w:p>
      <w:pPr>
        <w:snapToGrid w:val="0"/>
        <w:spacing w:line="360" w:lineRule="auto"/>
        <w:ind w:firstLine="482" w:firstLineChars="200"/>
        <w:rPr>
          <w:b/>
        </w:rPr>
      </w:pPr>
      <w:r>
        <w:rPr>
          <w:b/>
        </w:rPr>
        <w:t>5</w:t>
      </w:r>
      <w:r>
        <w:rPr>
          <w:rFonts w:hint="eastAsia"/>
          <w:b/>
        </w:rPr>
        <w:t>．专业发展支撑条件有待进一步完善</w:t>
      </w:r>
    </w:p>
    <w:p>
      <w:pPr>
        <w:spacing w:line="360" w:lineRule="auto"/>
        <w:ind w:firstLine="480" w:firstLineChars="200"/>
      </w:pPr>
      <w:r>
        <w:rPr>
          <w:rFonts w:hint="eastAsia"/>
        </w:rPr>
        <w:t>近些年，随着上海工程技术大学的不断发展，国际经济与贸易专业的各种软硬件条件也得到进一步的提升与完善。但由于受到建设经费等条件的限制，与国内外知名高校相比，国际经济与贸易的专业发展支撑条件仍有较大的改进空间，</w:t>
      </w:r>
      <w:r>
        <w:t>实验室与实习基地相对偏少，</w:t>
      </w:r>
      <w:r>
        <w:rPr>
          <w:rFonts w:hint="eastAsia"/>
        </w:rPr>
        <w:t>专业图书资料偏少与专业生均教学经费偏低，未来需要进一步增加建设。</w:t>
      </w:r>
    </w:p>
    <w:p>
      <w:pPr>
        <w:snapToGrid w:val="0"/>
        <w:spacing w:line="360" w:lineRule="auto"/>
        <w:ind w:firstLine="480" w:firstLineChars="200"/>
      </w:pPr>
    </w:p>
    <w:p>
      <w:pPr>
        <w:snapToGrid w:val="0"/>
        <w:spacing w:line="360" w:lineRule="auto"/>
        <w:outlineLvl w:val="0"/>
        <w:rPr>
          <w:b/>
        </w:rPr>
      </w:pPr>
      <w:r>
        <w:rPr>
          <w:rFonts w:hint="eastAsia"/>
          <w:b/>
        </w:rPr>
        <w:t>（二）采取的对策及改进措施</w:t>
      </w:r>
    </w:p>
    <w:p>
      <w:pPr>
        <w:snapToGrid w:val="0"/>
        <w:spacing w:line="360" w:lineRule="auto"/>
        <w:ind w:firstLine="482" w:firstLineChars="200"/>
        <w:rPr>
          <w:b/>
        </w:rPr>
      </w:pPr>
      <w:r>
        <w:rPr>
          <w:rFonts w:hint="eastAsia"/>
          <w:b/>
        </w:rPr>
        <w:t>1．借AACSB认证契机，进一步缩小与国际精英商院校的专业差距</w:t>
      </w:r>
    </w:p>
    <w:p>
      <w:pPr>
        <w:snapToGrid w:val="0"/>
        <w:spacing w:line="360" w:lineRule="auto"/>
        <w:ind w:firstLine="480" w:firstLineChars="200"/>
      </w:pPr>
      <w:r>
        <w:rPr>
          <w:rFonts w:hint="eastAsia"/>
        </w:rPr>
        <w:t>借AACSB认证契机，本专业正大力改革，相关措施正逐步纳入专业发展计划。</w:t>
      </w:r>
    </w:p>
    <w:p>
      <w:pPr>
        <w:snapToGrid w:val="0"/>
        <w:spacing w:line="360" w:lineRule="auto"/>
        <w:ind w:firstLine="480" w:firstLineChars="200"/>
      </w:pPr>
      <w:r>
        <w:rPr>
          <w:rFonts w:hint="eastAsia"/>
        </w:rPr>
        <w:t>（1）加强国际精英商学院间的联系与交流：加强与国际精英商学院及上海、国内兄弟院校的联系，重点对标国际精英商学院的国际经济与贸易专业，学习借鉴其办学的成功经验。</w:t>
      </w:r>
    </w:p>
    <w:p>
      <w:pPr>
        <w:snapToGrid w:val="0"/>
        <w:spacing w:line="360" w:lineRule="auto"/>
        <w:ind w:firstLine="480" w:firstLineChars="200"/>
      </w:pPr>
      <w:r>
        <w:rPr>
          <w:rFonts w:hint="eastAsia"/>
        </w:rPr>
        <w:t>（2）积极探索国际化培养模式：积极开拓国际合作办学项目，寻求更加广泛和多样化的合作方式；通过聘请外籍教师讲授专业课，同时聘请海外教授举办讲座，拓展学生的国际视野；充分利用上海外资企业众多的优势，聘请高素质外籍职业经理人进课堂，担任兼职教师，参加理论教学与实践教学。</w:t>
      </w:r>
    </w:p>
    <w:p>
      <w:pPr>
        <w:snapToGrid w:val="0"/>
        <w:spacing w:line="360" w:lineRule="auto"/>
        <w:ind w:firstLine="482" w:firstLineChars="200"/>
        <w:outlineLvl w:val="0"/>
        <w:rPr>
          <w:b/>
        </w:rPr>
      </w:pPr>
      <w:r>
        <w:rPr>
          <w:rFonts w:hint="eastAsia"/>
          <w:b/>
        </w:rPr>
        <w:t>2．加强专业内涵建设，激发学生学习主动性</w:t>
      </w:r>
    </w:p>
    <w:p>
      <w:pPr>
        <w:snapToGrid w:val="0"/>
        <w:spacing w:line="360" w:lineRule="auto"/>
        <w:ind w:firstLine="480" w:firstLineChars="200"/>
      </w:pPr>
      <w:r>
        <w:rPr>
          <w:rFonts w:hint="eastAsia"/>
        </w:rPr>
        <w:t>本专业正积极采取以下措施，力图帮助学生强化专业认知、激发学习主动性。</w:t>
      </w:r>
    </w:p>
    <w:p>
      <w:pPr>
        <w:snapToGrid w:val="0"/>
        <w:spacing w:line="360" w:lineRule="auto"/>
        <w:ind w:firstLine="480" w:firstLineChars="200"/>
      </w:pPr>
      <w:r>
        <w:rPr>
          <w:rFonts w:hint="eastAsia"/>
        </w:rPr>
        <w:t>（1）通过专业认知，明确学习目的、激发学习自主性：本专业通过专业动员、专家论坛和座谈、专业实践、专业现状调研等各项措施，积极探索加强学生学习主动性的途径。</w:t>
      </w:r>
    </w:p>
    <w:p>
      <w:pPr>
        <w:snapToGrid w:val="0"/>
        <w:spacing w:line="360" w:lineRule="auto"/>
        <w:ind w:firstLine="480" w:firstLineChars="200"/>
      </w:pPr>
      <w:r>
        <w:rPr>
          <w:rFonts w:hint="eastAsia"/>
        </w:rPr>
        <w:t>（2）校企共建，加大专业创新与实践活动的开展：通过校企共建，培养符合企业要求的学生，增加学生实践机会。加强和企业沟通，探讨合理的培养模式，培养社会急需的人才。根据企业需求开展相关实践活动，通过在企业的实践，让学生接触专业，并养成踏实的学习、工作作风。</w:t>
      </w:r>
    </w:p>
    <w:p>
      <w:pPr>
        <w:snapToGrid w:val="0"/>
        <w:spacing w:line="360" w:lineRule="auto"/>
        <w:ind w:firstLine="482" w:firstLineChars="200"/>
        <w:rPr>
          <w:b/>
          <w:bCs/>
        </w:rPr>
      </w:pPr>
      <w:r>
        <w:rPr>
          <w:b/>
        </w:rPr>
        <w:t>3</w:t>
      </w:r>
      <w:r>
        <w:rPr>
          <w:rFonts w:hint="eastAsia"/>
          <w:b/>
        </w:rPr>
        <w:t>．</w:t>
      </w:r>
      <w:r>
        <w:rPr>
          <w:rFonts w:hint="eastAsia"/>
          <w:b/>
          <w:bCs/>
        </w:rPr>
        <w:t>实施人才驱动战略，进一步加强师资队伍建设</w:t>
      </w:r>
    </w:p>
    <w:p>
      <w:pPr>
        <w:spacing w:line="360" w:lineRule="auto"/>
        <w:ind w:firstLine="480" w:firstLineChars="200"/>
      </w:pPr>
      <w:r>
        <w:rPr>
          <w:rFonts w:hint="eastAsia"/>
        </w:rPr>
        <w:t>实施人才驱动战略，由学术带头人和学术骨干组建团队，用教学科研锻炼团队，鼓励教师申请教学科研项目、发表高水平论文，提升本专业的影响力和知名度。本专业将进一步采取“引进、培养、外聘”等措施，加强高水平师资队伍建设。放眼未来，本专业将加大外聘力度，聘请企业专家、高级技术人员和行业精英，优化兼职教师队伍；加大“校企合作教学”力度，进一步增强教学的实效性和针对性。对于本专业急需的高水平人才，可试行“柔性引进”等方法，充分发挥校外高层次人才的作用。</w:t>
      </w:r>
    </w:p>
    <w:p>
      <w:pPr>
        <w:spacing w:line="360" w:lineRule="auto"/>
        <w:ind w:firstLine="482" w:firstLineChars="200"/>
        <w:rPr>
          <w:b/>
          <w:bCs/>
        </w:rPr>
      </w:pPr>
      <w:r>
        <w:rPr>
          <w:b/>
        </w:rPr>
        <w:t>4</w:t>
      </w:r>
      <w:r>
        <w:rPr>
          <w:rFonts w:hint="eastAsia"/>
          <w:b/>
        </w:rPr>
        <w:t>．</w:t>
      </w:r>
      <w:bookmarkStart w:id="111" w:name="_Toc137121818"/>
      <w:bookmarkStart w:id="112" w:name="_Toc131072376"/>
      <w:r>
        <w:rPr>
          <w:b/>
          <w:bCs/>
        </w:rPr>
        <w:t>多渠道全方位提升</w:t>
      </w:r>
      <w:r>
        <w:rPr>
          <w:rFonts w:hint="eastAsia"/>
          <w:b/>
          <w:bCs/>
        </w:rPr>
        <w:t>专业发展支撑条件</w:t>
      </w:r>
      <w:bookmarkEnd w:id="111"/>
      <w:bookmarkEnd w:id="112"/>
    </w:p>
    <w:p>
      <w:pPr>
        <w:spacing w:line="360" w:lineRule="auto"/>
        <w:ind w:firstLine="480" w:firstLineChars="200"/>
      </w:pPr>
      <w:r>
        <w:t>针对</w:t>
      </w:r>
      <w:r>
        <w:rPr>
          <w:rFonts w:hint="eastAsia"/>
        </w:rPr>
        <w:t>专业发展支撑条件不足，</w:t>
      </w:r>
      <w:r>
        <w:t>实验室与实习基地相对偏少</w:t>
      </w:r>
      <w:r>
        <w:rPr>
          <w:rFonts w:hint="eastAsia"/>
        </w:rPr>
        <w:t>，专业图书资料偏少与专业生均教学经费偏低等问题。未来在专业发展问题上，应充分争取学校与学院的各级资源，多渠道全方位提升国际经济与贸易专业发展支撑条件。争取学校的经费与场地支持，增加建设国际经济与贸易专业仿真模拟实验室，在现有的基础上不断开发新的实验实训项目，加大对现有实践教学的利用率。对接国际经济与贸易专业相关企业单位，组建专业实习实训基地，开办校企共建实验室项目，通过全方位的校企合作，加强专业发展的实践支撑条件。在专业图书资料上，积极向学校图文信息中心反馈国际经济与贸易专业发展所需的专业图书、期刊以及电子数据库资料，争取不断补充更新完善国际经济与贸易专业图书资料。在专业生均教学经费上，应积极与学校学院沟通，争取在教学经费上能逐步得到提升。</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85A62"/>
    <w:multiLevelType w:val="multilevel"/>
    <w:tmpl w:val="2DE85A62"/>
    <w:lvl w:ilvl="0" w:tentative="0">
      <w:start w:val="1"/>
      <w:numFmt w:val="decimal"/>
      <w:lvlText w:val="（%1）"/>
      <w:lvlJc w:val="left"/>
      <w:pPr>
        <w:ind w:left="1236" w:hanging="720"/>
      </w:pPr>
      <w:rPr>
        <w:rFonts w:hint="default"/>
      </w:rPr>
    </w:lvl>
    <w:lvl w:ilvl="1" w:tentative="0">
      <w:start w:val="1"/>
      <w:numFmt w:val="lowerLetter"/>
      <w:lvlText w:val="%2)"/>
      <w:lvlJc w:val="left"/>
      <w:pPr>
        <w:ind w:left="1396" w:hanging="440"/>
      </w:pPr>
    </w:lvl>
    <w:lvl w:ilvl="2" w:tentative="0">
      <w:start w:val="1"/>
      <w:numFmt w:val="lowerRoman"/>
      <w:lvlText w:val="%3."/>
      <w:lvlJc w:val="right"/>
      <w:pPr>
        <w:ind w:left="1836" w:hanging="440"/>
      </w:pPr>
    </w:lvl>
    <w:lvl w:ilvl="3" w:tentative="0">
      <w:start w:val="1"/>
      <w:numFmt w:val="decimal"/>
      <w:lvlText w:val="%4."/>
      <w:lvlJc w:val="left"/>
      <w:pPr>
        <w:ind w:left="2276" w:hanging="440"/>
      </w:pPr>
    </w:lvl>
    <w:lvl w:ilvl="4" w:tentative="0">
      <w:start w:val="1"/>
      <w:numFmt w:val="lowerLetter"/>
      <w:lvlText w:val="%5)"/>
      <w:lvlJc w:val="left"/>
      <w:pPr>
        <w:ind w:left="2716" w:hanging="440"/>
      </w:pPr>
    </w:lvl>
    <w:lvl w:ilvl="5" w:tentative="0">
      <w:start w:val="1"/>
      <w:numFmt w:val="lowerRoman"/>
      <w:lvlText w:val="%6."/>
      <w:lvlJc w:val="right"/>
      <w:pPr>
        <w:ind w:left="3156" w:hanging="440"/>
      </w:pPr>
    </w:lvl>
    <w:lvl w:ilvl="6" w:tentative="0">
      <w:start w:val="1"/>
      <w:numFmt w:val="decimal"/>
      <w:lvlText w:val="%7."/>
      <w:lvlJc w:val="left"/>
      <w:pPr>
        <w:ind w:left="3596" w:hanging="440"/>
      </w:pPr>
    </w:lvl>
    <w:lvl w:ilvl="7" w:tentative="0">
      <w:start w:val="1"/>
      <w:numFmt w:val="lowerLetter"/>
      <w:lvlText w:val="%8)"/>
      <w:lvlJc w:val="left"/>
      <w:pPr>
        <w:ind w:left="4036" w:hanging="440"/>
      </w:pPr>
    </w:lvl>
    <w:lvl w:ilvl="8" w:tentative="0">
      <w:start w:val="1"/>
      <w:numFmt w:val="lowerRoman"/>
      <w:lvlText w:val="%9."/>
      <w:lvlJc w:val="right"/>
      <w:pPr>
        <w:ind w:left="4476" w:hanging="440"/>
      </w:pPr>
    </w:lvl>
  </w:abstractNum>
  <w:abstractNum w:abstractNumId="1">
    <w:nsid w:val="32800A21"/>
    <w:multiLevelType w:val="multilevel"/>
    <w:tmpl w:val="32800A21"/>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1514F"/>
    <w:rsid w:val="000232EC"/>
    <w:rsid w:val="000376E8"/>
    <w:rsid w:val="00063942"/>
    <w:rsid w:val="000747B1"/>
    <w:rsid w:val="000827A3"/>
    <w:rsid w:val="00092B09"/>
    <w:rsid w:val="000A4A8E"/>
    <w:rsid w:val="000A6EA2"/>
    <w:rsid w:val="000B2965"/>
    <w:rsid w:val="000C5096"/>
    <w:rsid w:val="000D0027"/>
    <w:rsid w:val="000D257F"/>
    <w:rsid w:val="000E14E9"/>
    <w:rsid w:val="000E430A"/>
    <w:rsid w:val="000E6FA3"/>
    <w:rsid w:val="00141505"/>
    <w:rsid w:val="001535F0"/>
    <w:rsid w:val="00156644"/>
    <w:rsid w:val="00164DCB"/>
    <w:rsid w:val="00165054"/>
    <w:rsid w:val="00176907"/>
    <w:rsid w:val="00191D7C"/>
    <w:rsid w:val="001944A0"/>
    <w:rsid w:val="001D2E93"/>
    <w:rsid w:val="001D66EF"/>
    <w:rsid w:val="001F1060"/>
    <w:rsid w:val="002005D2"/>
    <w:rsid w:val="002123E7"/>
    <w:rsid w:val="00225EF1"/>
    <w:rsid w:val="00242E0B"/>
    <w:rsid w:val="00263B5B"/>
    <w:rsid w:val="002814D0"/>
    <w:rsid w:val="002A2648"/>
    <w:rsid w:val="002A4CDF"/>
    <w:rsid w:val="002F4257"/>
    <w:rsid w:val="00337A06"/>
    <w:rsid w:val="00356E3E"/>
    <w:rsid w:val="00360200"/>
    <w:rsid w:val="00383CB3"/>
    <w:rsid w:val="0039606C"/>
    <w:rsid w:val="003A5DC9"/>
    <w:rsid w:val="003B5743"/>
    <w:rsid w:val="003B5821"/>
    <w:rsid w:val="003D4237"/>
    <w:rsid w:val="003E3C59"/>
    <w:rsid w:val="003E684A"/>
    <w:rsid w:val="003F7065"/>
    <w:rsid w:val="00400D8F"/>
    <w:rsid w:val="00410DCD"/>
    <w:rsid w:val="0043005D"/>
    <w:rsid w:val="00451AC7"/>
    <w:rsid w:val="00485557"/>
    <w:rsid w:val="0049281E"/>
    <w:rsid w:val="00492D16"/>
    <w:rsid w:val="004A29AB"/>
    <w:rsid w:val="004C4E32"/>
    <w:rsid w:val="004C5078"/>
    <w:rsid w:val="004D3393"/>
    <w:rsid w:val="004E18DE"/>
    <w:rsid w:val="0054186C"/>
    <w:rsid w:val="005C4D52"/>
    <w:rsid w:val="005C74B8"/>
    <w:rsid w:val="00605D42"/>
    <w:rsid w:val="00644138"/>
    <w:rsid w:val="00652619"/>
    <w:rsid w:val="00662EA1"/>
    <w:rsid w:val="00663B33"/>
    <w:rsid w:val="0067425A"/>
    <w:rsid w:val="006D69AF"/>
    <w:rsid w:val="006F1096"/>
    <w:rsid w:val="006F1351"/>
    <w:rsid w:val="006F7A82"/>
    <w:rsid w:val="0071499E"/>
    <w:rsid w:val="007165BA"/>
    <w:rsid w:val="00727DD0"/>
    <w:rsid w:val="00730C50"/>
    <w:rsid w:val="0075351C"/>
    <w:rsid w:val="007549AC"/>
    <w:rsid w:val="0075762C"/>
    <w:rsid w:val="0078195A"/>
    <w:rsid w:val="007849F0"/>
    <w:rsid w:val="0079395C"/>
    <w:rsid w:val="007A5545"/>
    <w:rsid w:val="007C5E14"/>
    <w:rsid w:val="007E3FE5"/>
    <w:rsid w:val="007E49C2"/>
    <w:rsid w:val="007F2627"/>
    <w:rsid w:val="008108BC"/>
    <w:rsid w:val="00816350"/>
    <w:rsid w:val="00836A73"/>
    <w:rsid w:val="00840DC7"/>
    <w:rsid w:val="008471D9"/>
    <w:rsid w:val="00877FB8"/>
    <w:rsid w:val="00884201"/>
    <w:rsid w:val="00884A2C"/>
    <w:rsid w:val="008E01F5"/>
    <w:rsid w:val="008F1E13"/>
    <w:rsid w:val="00902E1E"/>
    <w:rsid w:val="009072BA"/>
    <w:rsid w:val="00916339"/>
    <w:rsid w:val="00925B49"/>
    <w:rsid w:val="009805AF"/>
    <w:rsid w:val="00990C06"/>
    <w:rsid w:val="00994D35"/>
    <w:rsid w:val="009B1C45"/>
    <w:rsid w:val="009D1A90"/>
    <w:rsid w:val="009F06FE"/>
    <w:rsid w:val="00A30E1C"/>
    <w:rsid w:val="00A47CAE"/>
    <w:rsid w:val="00A67438"/>
    <w:rsid w:val="00A9217F"/>
    <w:rsid w:val="00AC5372"/>
    <w:rsid w:val="00AD593B"/>
    <w:rsid w:val="00B248C0"/>
    <w:rsid w:val="00B36396"/>
    <w:rsid w:val="00B425EA"/>
    <w:rsid w:val="00B572EB"/>
    <w:rsid w:val="00B7496E"/>
    <w:rsid w:val="00BF21C6"/>
    <w:rsid w:val="00C0158E"/>
    <w:rsid w:val="00C13054"/>
    <w:rsid w:val="00C20FA2"/>
    <w:rsid w:val="00C4403F"/>
    <w:rsid w:val="00C544B0"/>
    <w:rsid w:val="00C56CD4"/>
    <w:rsid w:val="00C867E7"/>
    <w:rsid w:val="00CA016C"/>
    <w:rsid w:val="00CF36EB"/>
    <w:rsid w:val="00D119DB"/>
    <w:rsid w:val="00D13A6E"/>
    <w:rsid w:val="00D47C1A"/>
    <w:rsid w:val="00D5367E"/>
    <w:rsid w:val="00D61529"/>
    <w:rsid w:val="00D93A2F"/>
    <w:rsid w:val="00D96714"/>
    <w:rsid w:val="00DA7182"/>
    <w:rsid w:val="00DB3BB4"/>
    <w:rsid w:val="00DB5E5D"/>
    <w:rsid w:val="00E12321"/>
    <w:rsid w:val="00E138B4"/>
    <w:rsid w:val="00E30105"/>
    <w:rsid w:val="00E61680"/>
    <w:rsid w:val="00EE2B30"/>
    <w:rsid w:val="00EE64EC"/>
    <w:rsid w:val="00EE7547"/>
    <w:rsid w:val="00EF305C"/>
    <w:rsid w:val="00F01231"/>
    <w:rsid w:val="00F05B8E"/>
    <w:rsid w:val="00F34C8E"/>
    <w:rsid w:val="00F35907"/>
    <w:rsid w:val="00F57C6E"/>
    <w:rsid w:val="00F77D6D"/>
    <w:rsid w:val="00FA30CC"/>
    <w:rsid w:val="00FC3DE2"/>
    <w:rsid w:val="00FD25C8"/>
    <w:rsid w:val="00FE323B"/>
    <w:rsid w:val="01CC1A40"/>
    <w:rsid w:val="02201D8C"/>
    <w:rsid w:val="03A32C74"/>
    <w:rsid w:val="077C5CB6"/>
    <w:rsid w:val="0F582B65"/>
    <w:rsid w:val="111D5839"/>
    <w:rsid w:val="12371157"/>
    <w:rsid w:val="128E407F"/>
    <w:rsid w:val="1FCD6C57"/>
    <w:rsid w:val="24C73138"/>
    <w:rsid w:val="26DC3C24"/>
    <w:rsid w:val="27DF1C1D"/>
    <w:rsid w:val="29AB6B74"/>
    <w:rsid w:val="2FE36023"/>
    <w:rsid w:val="360849E9"/>
    <w:rsid w:val="42ED2FE9"/>
    <w:rsid w:val="4AF75521"/>
    <w:rsid w:val="4FA3633E"/>
    <w:rsid w:val="53037A15"/>
    <w:rsid w:val="5B5B3832"/>
    <w:rsid w:val="5F702B80"/>
    <w:rsid w:val="64794284"/>
    <w:rsid w:val="64CC6AAA"/>
    <w:rsid w:val="72D82ABE"/>
    <w:rsid w:val="75022465"/>
    <w:rsid w:val="7552152F"/>
    <w:rsid w:val="7D450D50"/>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8"/>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29"/>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1"/>
    <w:semiHidden/>
    <w:unhideWhenUsed/>
    <w:qFormat/>
    <w:uiPriority w:val="99"/>
  </w:style>
  <w:style w:type="paragraph" w:styleId="8">
    <w:name w:val="Body Text"/>
    <w:basedOn w:val="1"/>
    <w:link w:val="22"/>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style>
  <w:style w:type="paragraph" w:styleId="10">
    <w:name w:val="Date"/>
    <w:basedOn w:val="1"/>
    <w:next w:val="1"/>
    <w:link w:val="25"/>
    <w:autoRedefine/>
    <w:semiHidden/>
    <w:unhideWhenUsed/>
    <w:qFormat/>
    <w:uiPriority w:val="99"/>
    <w:pPr>
      <w:ind w:left="100" w:leftChars="2500"/>
    </w:pPr>
  </w:style>
  <w:style w:type="paragraph" w:styleId="11">
    <w:name w:val="endnote text"/>
    <w:basedOn w:val="1"/>
    <w:link w:val="33"/>
    <w:autoRedefine/>
    <w:semiHidden/>
    <w:unhideWhenUsed/>
    <w:qFormat/>
    <w:uiPriority w:val="99"/>
    <w:pPr>
      <w:snapToGrid w:val="0"/>
    </w:pPr>
  </w:style>
  <w:style w:type="paragraph" w:styleId="12">
    <w:name w:val="footer"/>
    <w:basedOn w:val="1"/>
    <w:link w:val="35"/>
    <w:unhideWhenUsed/>
    <w:qFormat/>
    <w:uiPriority w:val="99"/>
    <w:pPr>
      <w:tabs>
        <w:tab w:val="center" w:pos="4153"/>
        <w:tab w:val="right" w:pos="8306"/>
      </w:tabs>
      <w:snapToGrid w:val="0"/>
    </w:pPr>
    <w:rPr>
      <w:sz w:val="18"/>
      <w:szCs w:val="18"/>
    </w:rPr>
  </w:style>
  <w:style w:type="paragraph" w:styleId="13">
    <w:name w:val="header"/>
    <w:basedOn w:val="1"/>
    <w:link w:val="34"/>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autoRedefine/>
    <w:semiHidden/>
    <w:unhideWhenUsed/>
    <w:qFormat/>
    <w:uiPriority w:val="99"/>
    <w:rPr>
      <w:vertAlign w:val="superscript"/>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semiHidden/>
    <w:unhideWhenUsed/>
    <w:qFormat/>
    <w:uiPriority w:val="99"/>
    <w:rPr>
      <w:sz w:val="21"/>
      <w:szCs w:val="21"/>
    </w:rPr>
  </w:style>
  <w:style w:type="character" w:customStyle="1" w:styleId="22">
    <w:name w:val="正文文本 字符"/>
    <w:basedOn w:val="18"/>
    <w:link w:val="8"/>
    <w:autoRedefine/>
    <w:semiHidden/>
    <w:qFormat/>
    <w:uiPriority w:val="99"/>
    <w:rPr>
      <w:rFonts w:ascii="宋体" w:hAnsi="宋体" w:eastAsia="宋体" w:cs="宋体"/>
      <w:kern w:val="0"/>
      <w:sz w:val="24"/>
      <w:szCs w:val="24"/>
    </w:rPr>
  </w:style>
  <w:style w:type="paragraph" w:customStyle="1" w:styleId="23">
    <w:name w:val="11"/>
    <w:basedOn w:val="1"/>
    <w:autoRedefine/>
    <w:semiHidden/>
    <w:qFormat/>
    <w:uiPriority w:val="99"/>
    <w:pPr>
      <w:spacing w:before="100" w:beforeAutospacing="1" w:after="100" w:afterAutospacing="1"/>
    </w:pPr>
  </w:style>
  <w:style w:type="character" w:customStyle="1" w:styleId="24">
    <w:name w:val="标题 1 字符"/>
    <w:basedOn w:val="18"/>
    <w:link w:val="2"/>
    <w:qFormat/>
    <w:uiPriority w:val="9"/>
    <w:rPr>
      <w:b/>
      <w:bCs/>
      <w:kern w:val="44"/>
      <w:sz w:val="44"/>
      <w:szCs w:val="44"/>
    </w:rPr>
  </w:style>
  <w:style w:type="character" w:customStyle="1" w:styleId="25">
    <w:name w:val="日期 字符"/>
    <w:basedOn w:val="18"/>
    <w:link w:val="10"/>
    <w:autoRedefine/>
    <w:semiHidden/>
    <w:qFormat/>
    <w:uiPriority w:val="99"/>
    <w:rPr>
      <w:rFonts w:ascii="宋体" w:hAnsi="宋体" w:eastAsia="宋体" w:cs="宋体"/>
      <w:kern w:val="0"/>
      <w:sz w:val="24"/>
      <w:szCs w:val="24"/>
    </w:rPr>
  </w:style>
  <w:style w:type="paragraph" w:customStyle="1" w:styleId="26">
    <w:name w:val="21"/>
    <w:basedOn w:val="1"/>
    <w:autoRedefine/>
    <w:semiHidden/>
    <w:qFormat/>
    <w:uiPriority w:val="99"/>
    <w:pPr>
      <w:spacing w:before="100" w:beforeAutospacing="1" w:after="100" w:afterAutospacing="1"/>
    </w:pPr>
  </w:style>
  <w:style w:type="paragraph" w:customStyle="1" w:styleId="27">
    <w:name w:val="tableparagraph"/>
    <w:basedOn w:val="1"/>
    <w:autoRedefine/>
    <w:semiHidden/>
    <w:qFormat/>
    <w:uiPriority w:val="99"/>
    <w:pPr>
      <w:spacing w:before="100" w:beforeAutospacing="1" w:after="100" w:afterAutospacing="1"/>
    </w:pPr>
  </w:style>
  <w:style w:type="character" w:customStyle="1" w:styleId="28">
    <w:name w:val="标题 2 字符"/>
    <w:basedOn w:val="18"/>
    <w:link w:val="3"/>
    <w:autoRedefine/>
    <w:qFormat/>
    <w:uiPriority w:val="9"/>
    <w:rPr>
      <w:rFonts w:ascii="Cambria" w:hAnsi="Cambria" w:eastAsia="宋体" w:cs="Times New Roman"/>
      <w:b/>
      <w:bCs/>
      <w:sz w:val="32"/>
      <w:szCs w:val="32"/>
    </w:rPr>
  </w:style>
  <w:style w:type="character" w:customStyle="1" w:styleId="29">
    <w:name w:val="标题 3 字符"/>
    <w:basedOn w:val="18"/>
    <w:link w:val="4"/>
    <w:autoRedefine/>
    <w:qFormat/>
    <w:uiPriority w:val="9"/>
    <w:rPr>
      <w:b/>
      <w:bCs/>
      <w:sz w:val="32"/>
      <w:szCs w:val="32"/>
    </w:rPr>
  </w:style>
  <w:style w:type="character" w:customStyle="1" w:styleId="30">
    <w:name w:val="标题 4 字符"/>
    <w:basedOn w:val="18"/>
    <w:link w:val="5"/>
    <w:autoRedefine/>
    <w:qFormat/>
    <w:uiPriority w:val="9"/>
    <w:rPr>
      <w:rFonts w:asciiTheme="majorHAnsi" w:hAnsiTheme="majorHAnsi" w:eastAsiaTheme="majorEastAsia" w:cstheme="majorBidi"/>
      <w:b/>
      <w:bCs/>
      <w:kern w:val="0"/>
      <w:sz w:val="28"/>
      <w:szCs w:val="28"/>
    </w:rPr>
  </w:style>
  <w:style w:type="character" w:customStyle="1" w:styleId="31">
    <w:name w:val="批注文字 字符"/>
    <w:basedOn w:val="18"/>
    <w:link w:val="7"/>
    <w:autoRedefine/>
    <w:semiHidden/>
    <w:qFormat/>
    <w:uiPriority w:val="99"/>
    <w:rPr>
      <w:rFonts w:ascii="宋体" w:hAnsi="宋体" w:eastAsia="宋体" w:cs="宋体"/>
      <w:kern w:val="0"/>
      <w:sz w:val="24"/>
      <w:szCs w:val="24"/>
    </w:rPr>
  </w:style>
  <w:style w:type="character" w:customStyle="1" w:styleId="32">
    <w:name w:val="标题 5 字符"/>
    <w:basedOn w:val="18"/>
    <w:link w:val="6"/>
    <w:autoRedefine/>
    <w:qFormat/>
    <w:uiPriority w:val="9"/>
    <w:rPr>
      <w:rFonts w:ascii="宋体" w:hAnsi="宋体" w:eastAsia="宋体" w:cs="宋体"/>
      <w:b/>
      <w:bCs/>
      <w:kern w:val="0"/>
      <w:sz w:val="28"/>
      <w:szCs w:val="28"/>
    </w:rPr>
  </w:style>
  <w:style w:type="character" w:customStyle="1" w:styleId="33">
    <w:name w:val="尾注文本 字符"/>
    <w:basedOn w:val="18"/>
    <w:link w:val="11"/>
    <w:autoRedefine/>
    <w:semiHidden/>
    <w:qFormat/>
    <w:uiPriority w:val="99"/>
    <w:rPr>
      <w:rFonts w:ascii="宋体" w:hAnsi="宋体" w:eastAsia="宋体" w:cs="宋体"/>
      <w:sz w:val="24"/>
      <w:szCs w:val="24"/>
    </w:rPr>
  </w:style>
  <w:style w:type="character" w:customStyle="1" w:styleId="34">
    <w:name w:val="页眉 字符"/>
    <w:basedOn w:val="18"/>
    <w:link w:val="13"/>
    <w:autoRedefine/>
    <w:qFormat/>
    <w:uiPriority w:val="99"/>
    <w:rPr>
      <w:rFonts w:ascii="宋体" w:hAnsi="宋体" w:eastAsia="宋体" w:cs="宋体"/>
      <w:sz w:val="18"/>
      <w:szCs w:val="18"/>
    </w:rPr>
  </w:style>
  <w:style w:type="character" w:customStyle="1" w:styleId="35">
    <w:name w:val="页脚 字符"/>
    <w:basedOn w:val="18"/>
    <w:link w:val="12"/>
    <w:uiPriority w:val="99"/>
    <w:rPr>
      <w:rFonts w:ascii="宋体" w:hAnsi="宋体" w:eastAsia="宋体" w:cs="宋体"/>
      <w:sz w:val="18"/>
      <w:szCs w:val="18"/>
    </w:rPr>
  </w:style>
  <w:style w:type="paragraph" w:styleId="36">
    <w:name w:val="List Paragraph"/>
    <w:basedOn w:val="1"/>
    <w:qFormat/>
    <w:uiPriority w:val="99"/>
    <w:pPr>
      <w:widowControl w:val="0"/>
      <w:ind w:firstLine="420" w:firstLineChars="200"/>
      <w:jc w:val="both"/>
    </w:pPr>
    <w:rPr>
      <w:rFonts w:ascii="Calibri" w:hAnsi="Calibri" w:cs="Times New Roman"/>
      <w:kern w:val="2"/>
      <w:sz w:val="21"/>
      <w:szCs w:val="22"/>
    </w:rPr>
  </w:style>
  <w:style w:type="paragraph" w:customStyle="1" w:styleId="37">
    <w:name w:val="paragraph"/>
    <w:basedOn w:val="1"/>
    <w:uiPriority w:val="0"/>
    <w:pPr>
      <w:spacing w:before="100" w:beforeAutospacing="1" w:after="100" w:afterAutospacing="1"/>
    </w:pPr>
  </w:style>
  <w:style w:type="character" w:customStyle="1" w:styleId="38">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Template>
  <Pages>36</Pages>
  <Words>3454</Words>
  <Characters>19689</Characters>
  <Lines>164</Lines>
  <Paragraphs>46</Paragraphs>
  <TotalTime>4246</TotalTime>
  <ScaleCrop>false</ScaleCrop>
  <LinksUpToDate>false</LinksUpToDate>
  <CharactersWithSpaces>23097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2023-03-04T03:05:00Z</dcterms:created>
  <dc:creator>Lifan Zheng</dc:creator>
  <cp:lastModifiedBy>唐小霸</cp:lastModifiedBy>
  <dcterms:modified xsi:type="dcterms:W3CDTF">2024-03-08T06:56:50Z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015C291BDE104D6E879F6170E5D763F3_13</vt:lpwstr>
  </property>
</Properties>
</file>